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Default="00B47B24">
      <w:pPr>
        <w:tabs>
          <w:tab w:val="center" w:pos="7200"/>
        </w:tabs>
        <w:jc w:val="center"/>
        <w:rPr>
          <w:b/>
        </w:rPr>
      </w:pPr>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2A4D8C">
        <w:t>April 1st</w:t>
      </w:r>
      <w:r w:rsidR="00736048">
        <w:t>, 2010</w:t>
      </w:r>
    </w:p>
    <w:p w:rsidR="00B47B24" w:rsidRDefault="00B47B24" w:rsidP="00736048">
      <w:pPr>
        <w:pStyle w:val="BodyTextIndent"/>
        <w:tabs>
          <w:tab w:val="left" w:pos="1890"/>
        </w:tabs>
        <w:rPr>
          <w:sz w:val="22"/>
        </w:rPr>
      </w:pPr>
      <w:r>
        <w:rPr>
          <w:b/>
          <w:sz w:val="22"/>
        </w:rPr>
        <w:t>PRESENT:</w:t>
      </w:r>
      <w:r>
        <w:rPr>
          <w:sz w:val="22"/>
        </w:rPr>
        <w:t xml:space="preserve"> </w:t>
      </w:r>
      <w:r>
        <w:rPr>
          <w:sz w:val="22"/>
        </w:rPr>
        <w:tab/>
      </w:r>
      <w:r w:rsidR="00FF360C">
        <w:rPr>
          <w:sz w:val="22"/>
        </w:rPr>
        <w:t xml:space="preserve">Mary Relling, Matthew Goetz, James Hoffman, Teri Klein, Kristine Crews, Christie Ingram, Jim Kennedy, Daniel Mueller, </w:t>
      </w:r>
      <w:r w:rsidR="008F0614">
        <w:rPr>
          <w:sz w:val="22"/>
        </w:rPr>
        <w:t xml:space="preserve">Mike Stein, </w:t>
      </w:r>
      <w:r w:rsidR="00FF360C">
        <w:rPr>
          <w:sz w:val="22"/>
        </w:rPr>
        <w:t xml:space="preserve">Todd Skaar, Russell Wilke, </w:t>
      </w:r>
      <w:r w:rsidR="00580E5F">
        <w:rPr>
          <w:sz w:val="22"/>
        </w:rPr>
        <w:t xml:space="preserve">Andrea Gaedigk, Grace Kuo, Rachel Tyndale, Sook Wah Yee, Michelle </w:t>
      </w:r>
      <w:proofErr w:type="spellStart"/>
      <w:r w:rsidR="00580E5F">
        <w:rPr>
          <w:sz w:val="22"/>
        </w:rPr>
        <w:t>Carillo</w:t>
      </w:r>
      <w:proofErr w:type="spellEnd"/>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00"/>
        <w:gridCol w:w="8280"/>
        <w:gridCol w:w="4304"/>
      </w:tblGrid>
      <w:tr w:rsidR="00B47B24" w:rsidTr="00845007">
        <w:trPr>
          <w:tblHeader/>
        </w:trPr>
        <w:tc>
          <w:tcPr>
            <w:tcW w:w="1800" w:type="dxa"/>
          </w:tcPr>
          <w:p w:rsidR="00B47B24" w:rsidRDefault="00B47B24">
            <w:pPr>
              <w:tabs>
                <w:tab w:val="left" w:pos="-388"/>
                <w:tab w:val="left" w:pos="0"/>
                <w:tab w:val="left" w:pos="450"/>
              </w:tabs>
              <w:spacing w:after="58"/>
              <w:rPr>
                <w:b/>
              </w:rPr>
            </w:pPr>
            <w:r>
              <w:rPr>
                <w:b/>
              </w:rPr>
              <w:t>TOPIC</w:t>
            </w:r>
          </w:p>
        </w:tc>
        <w:tc>
          <w:tcPr>
            <w:tcW w:w="8280" w:type="dxa"/>
          </w:tcPr>
          <w:p w:rsidR="00B47B24" w:rsidRDefault="00B47B24">
            <w:pPr>
              <w:tabs>
                <w:tab w:val="left" w:pos="-388"/>
                <w:tab w:val="left" w:pos="0"/>
                <w:tab w:val="left" w:pos="450"/>
              </w:tabs>
              <w:spacing w:after="58"/>
              <w:rPr>
                <w:b/>
              </w:rPr>
            </w:pPr>
            <w:r>
              <w:rPr>
                <w:b/>
              </w:rPr>
              <w:t>DISCUSSION/ACTION</w:t>
            </w:r>
          </w:p>
        </w:tc>
        <w:tc>
          <w:tcPr>
            <w:tcW w:w="4304" w:type="dxa"/>
          </w:tcPr>
          <w:p w:rsidR="00B47B24" w:rsidRDefault="00B47B24">
            <w:pPr>
              <w:tabs>
                <w:tab w:val="left" w:pos="-388"/>
                <w:tab w:val="left" w:pos="0"/>
                <w:tab w:val="left" w:pos="450"/>
              </w:tabs>
              <w:spacing w:after="58"/>
              <w:rPr>
                <w:b/>
              </w:rPr>
            </w:pPr>
            <w:r>
              <w:rPr>
                <w:b/>
              </w:rPr>
              <w:t>FOLLOW-UP</w:t>
            </w:r>
          </w:p>
        </w:tc>
      </w:tr>
      <w:tr w:rsidR="00B47B24" w:rsidTr="00845007">
        <w:tc>
          <w:tcPr>
            <w:tcW w:w="1800" w:type="dxa"/>
          </w:tcPr>
          <w:p w:rsidR="00DA13D0" w:rsidRDefault="00B567CD">
            <w:pPr>
              <w:tabs>
                <w:tab w:val="left" w:pos="-388"/>
                <w:tab w:val="left" w:pos="0"/>
                <w:tab w:val="left" w:pos="450"/>
              </w:tabs>
              <w:spacing w:after="58"/>
            </w:pPr>
            <w:r>
              <w:t>MOUs</w:t>
            </w:r>
            <w:r w:rsidR="00593949">
              <w:t xml:space="preserve">, phone, </w:t>
            </w:r>
            <w:r w:rsidR="002A4D8C">
              <w:t>WebEx</w:t>
            </w:r>
            <w:r w:rsidR="00593949">
              <w:t xml:space="preserve">, </w:t>
            </w:r>
            <w:r w:rsidR="002A4D8C">
              <w:t>Google groups</w:t>
            </w:r>
            <w:r>
              <w:t xml:space="preserve"> </w:t>
            </w:r>
          </w:p>
          <w:p w:rsidR="00DA13D0" w:rsidRDefault="00DA13D0">
            <w:pPr>
              <w:tabs>
                <w:tab w:val="left" w:pos="-388"/>
                <w:tab w:val="left" w:pos="0"/>
                <w:tab w:val="left" w:pos="450"/>
              </w:tabs>
              <w:spacing w:after="58"/>
            </w:pPr>
          </w:p>
          <w:p w:rsidR="00277E00" w:rsidRDefault="00277E00">
            <w:pPr>
              <w:tabs>
                <w:tab w:val="left" w:pos="-388"/>
                <w:tab w:val="left" w:pos="0"/>
                <w:tab w:val="left" w:pos="450"/>
              </w:tabs>
              <w:spacing w:after="58"/>
            </w:pPr>
          </w:p>
          <w:p w:rsidR="00DA13D0" w:rsidRDefault="00593949">
            <w:pPr>
              <w:tabs>
                <w:tab w:val="left" w:pos="-388"/>
                <w:tab w:val="left" w:pos="0"/>
                <w:tab w:val="left" w:pos="450"/>
              </w:tabs>
              <w:spacing w:after="58"/>
            </w:pPr>
            <w:r>
              <w:t>Publications of guidelines</w:t>
            </w:r>
          </w:p>
          <w:p w:rsidR="00DA13D0" w:rsidRDefault="00DA13D0">
            <w:pPr>
              <w:tabs>
                <w:tab w:val="left" w:pos="-388"/>
                <w:tab w:val="left" w:pos="0"/>
                <w:tab w:val="left" w:pos="450"/>
              </w:tabs>
              <w:spacing w:after="58"/>
            </w:pPr>
          </w:p>
          <w:p w:rsidR="00DA13D0" w:rsidRDefault="00DA13D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r>
              <w:t>Timelines</w:t>
            </w: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B47B24" w:rsidRDefault="00B212AC">
            <w:pPr>
              <w:tabs>
                <w:tab w:val="left" w:pos="-388"/>
                <w:tab w:val="left" w:pos="0"/>
                <w:tab w:val="left" w:pos="450"/>
              </w:tabs>
              <w:spacing w:after="58"/>
            </w:pPr>
            <w:r>
              <w:t xml:space="preserve">CPIC </w:t>
            </w:r>
            <w:r w:rsidR="00B567CD">
              <w:t>guidelines</w:t>
            </w: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EB56B7" w:rsidRDefault="00EB56B7">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E1843" w:rsidRDefault="007E1843">
            <w:pPr>
              <w:tabs>
                <w:tab w:val="left" w:pos="-388"/>
                <w:tab w:val="left" w:pos="0"/>
                <w:tab w:val="left" w:pos="450"/>
              </w:tabs>
              <w:spacing w:after="58"/>
            </w:pPr>
          </w:p>
          <w:p w:rsidR="00706062" w:rsidRDefault="00706062">
            <w:pPr>
              <w:tabs>
                <w:tab w:val="left" w:pos="-388"/>
                <w:tab w:val="left" w:pos="0"/>
                <w:tab w:val="left" w:pos="450"/>
              </w:tabs>
              <w:spacing w:after="58"/>
            </w:pPr>
          </w:p>
          <w:p w:rsidR="00706062" w:rsidRDefault="00706062">
            <w:pPr>
              <w:tabs>
                <w:tab w:val="left" w:pos="-388"/>
                <w:tab w:val="left" w:pos="0"/>
                <w:tab w:val="left" w:pos="450"/>
              </w:tabs>
              <w:spacing w:after="58"/>
            </w:pPr>
          </w:p>
          <w:p w:rsidR="00706062" w:rsidRDefault="00706062">
            <w:pPr>
              <w:tabs>
                <w:tab w:val="left" w:pos="-388"/>
                <w:tab w:val="left" w:pos="0"/>
                <w:tab w:val="left" w:pos="450"/>
              </w:tabs>
              <w:spacing w:after="58"/>
            </w:pPr>
          </w:p>
          <w:p w:rsidR="00706062" w:rsidRDefault="00706062">
            <w:pPr>
              <w:tabs>
                <w:tab w:val="left" w:pos="-388"/>
                <w:tab w:val="left" w:pos="0"/>
                <w:tab w:val="left" w:pos="450"/>
              </w:tabs>
              <w:spacing w:after="58"/>
            </w:pPr>
          </w:p>
          <w:p w:rsidR="00706062" w:rsidRDefault="00706062">
            <w:pPr>
              <w:tabs>
                <w:tab w:val="left" w:pos="-388"/>
                <w:tab w:val="left" w:pos="0"/>
                <w:tab w:val="left" w:pos="450"/>
              </w:tabs>
              <w:spacing w:after="58"/>
            </w:pPr>
          </w:p>
          <w:p w:rsidR="00706062" w:rsidRDefault="00706062">
            <w:pPr>
              <w:tabs>
                <w:tab w:val="left" w:pos="-388"/>
                <w:tab w:val="left" w:pos="0"/>
                <w:tab w:val="left" w:pos="450"/>
              </w:tabs>
              <w:spacing w:after="58"/>
            </w:pPr>
          </w:p>
          <w:p w:rsidR="002A4D8C" w:rsidRDefault="002A4D8C">
            <w:pPr>
              <w:tabs>
                <w:tab w:val="left" w:pos="-388"/>
                <w:tab w:val="left" w:pos="0"/>
                <w:tab w:val="left" w:pos="450"/>
              </w:tabs>
              <w:spacing w:after="58"/>
            </w:pPr>
          </w:p>
          <w:p w:rsidR="002A4D8C" w:rsidRDefault="002A4D8C">
            <w:pPr>
              <w:tabs>
                <w:tab w:val="left" w:pos="-388"/>
                <w:tab w:val="left" w:pos="0"/>
                <w:tab w:val="left" w:pos="450"/>
              </w:tabs>
              <w:spacing w:after="58"/>
            </w:pPr>
          </w:p>
          <w:p w:rsidR="002A4D8C" w:rsidRDefault="002A4D8C">
            <w:pPr>
              <w:tabs>
                <w:tab w:val="left" w:pos="-388"/>
                <w:tab w:val="left" w:pos="0"/>
                <w:tab w:val="left" w:pos="450"/>
              </w:tabs>
              <w:spacing w:after="58"/>
            </w:pPr>
          </w:p>
          <w:p w:rsidR="002A4D8C" w:rsidRDefault="002A4D8C">
            <w:pPr>
              <w:tabs>
                <w:tab w:val="left" w:pos="-388"/>
                <w:tab w:val="left" w:pos="0"/>
                <w:tab w:val="left" w:pos="450"/>
              </w:tabs>
              <w:spacing w:after="58"/>
            </w:pPr>
          </w:p>
          <w:p w:rsidR="002A4D8C" w:rsidRDefault="002A4D8C">
            <w:pPr>
              <w:tabs>
                <w:tab w:val="left" w:pos="-388"/>
                <w:tab w:val="left" w:pos="0"/>
                <w:tab w:val="left" w:pos="450"/>
              </w:tabs>
              <w:spacing w:after="58"/>
            </w:pPr>
          </w:p>
          <w:p w:rsidR="002A4D8C" w:rsidRDefault="002A4D8C">
            <w:pPr>
              <w:tabs>
                <w:tab w:val="left" w:pos="-388"/>
                <w:tab w:val="left" w:pos="0"/>
                <w:tab w:val="left" w:pos="450"/>
              </w:tabs>
              <w:spacing w:after="58"/>
            </w:pPr>
          </w:p>
          <w:p w:rsidR="00AF21C8" w:rsidRDefault="00F66DE5">
            <w:pPr>
              <w:tabs>
                <w:tab w:val="left" w:pos="-388"/>
                <w:tab w:val="left" w:pos="0"/>
                <w:tab w:val="left" w:pos="450"/>
              </w:tabs>
              <w:spacing w:after="58"/>
            </w:pPr>
            <w:r>
              <w:t>Guidelines on guidelines</w:t>
            </w: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EB56B7" w:rsidRDefault="00EB56B7">
            <w:pPr>
              <w:tabs>
                <w:tab w:val="left" w:pos="-388"/>
                <w:tab w:val="left" w:pos="0"/>
                <w:tab w:val="left" w:pos="450"/>
              </w:tabs>
              <w:spacing w:after="58"/>
            </w:pPr>
          </w:p>
          <w:p w:rsidR="007942AE" w:rsidRDefault="007942AE" w:rsidP="00706062">
            <w:pPr>
              <w:tabs>
                <w:tab w:val="left" w:pos="-388"/>
                <w:tab w:val="left" w:pos="0"/>
                <w:tab w:val="left" w:pos="450"/>
              </w:tabs>
              <w:spacing w:after="58"/>
            </w:pPr>
          </w:p>
        </w:tc>
        <w:tc>
          <w:tcPr>
            <w:tcW w:w="8280" w:type="dxa"/>
          </w:tcPr>
          <w:p w:rsidR="00593949" w:rsidRDefault="00DA13D0" w:rsidP="004037A8">
            <w:pPr>
              <w:tabs>
                <w:tab w:val="left" w:pos="-388"/>
                <w:tab w:val="left" w:pos="0"/>
                <w:tab w:val="left" w:pos="450"/>
              </w:tabs>
              <w:spacing w:after="58"/>
            </w:pPr>
            <w:r>
              <w:lastRenderedPageBreak/>
              <w:t>Teri Klein</w:t>
            </w:r>
            <w:r w:rsidR="00593949">
              <w:t xml:space="preserve"> discussed that </w:t>
            </w:r>
            <w:r>
              <w:t xml:space="preserve">MOUs </w:t>
            </w:r>
            <w:r w:rsidR="00593949">
              <w:t xml:space="preserve">had been returned by most; those who have were sent invitations to join </w:t>
            </w:r>
            <w:r w:rsidR="002A4D8C">
              <w:t>Google groups</w:t>
            </w:r>
            <w:r w:rsidR="00593949">
              <w:t xml:space="preserve">, which will be used for communication and sharing of documents for CPIC. </w:t>
            </w:r>
            <w:r w:rsidR="002A4D8C">
              <w:t>WebEx</w:t>
            </w:r>
            <w:r w:rsidR="00593949">
              <w:t xml:space="preserve"> function didn’t work properly for this call.</w:t>
            </w:r>
          </w:p>
          <w:p w:rsidR="00593949" w:rsidRDefault="00593949" w:rsidP="004037A8">
            <w:pPr>
              <w:tabs>
                <w:tab w:val="left" w:pos="-388"/>
                <w:tab w:val="left" w:pos="0"/>
                <w:tab w:val="left" w:pos="450"/>
              </w:tabs>
              <w:spacing w:after="58"/>
            </w:pPr>
          </w:p>
          <w:p w:rsidR="00277E00" w:rsidRDefault="00277E00" w:rsidP="004037A8">
            <w:pPr>
              <w:tabs>
                <w:tab w:val="left" w:pos="-388"/>
                <w:tab w:val="left" w:pos="0"/>
                <w:tab w:val="left" w:pos="450"/>
              </w:tabs>
              <w:spacing w:after="58"/>
            </w:pPr>
          </w:p>
          <w:p w:rsidR="00B567CD" w:rsidRDefault="00593949" w:rsidP="004037A8">
            <w:pPr>
              <w:tabs>
                <w:tab w:val="left" w:pos="-388"/>
                <w:tab w:val="left" w:pos="0"/>
                <w:tab w:val="left" w:pos="450"/>
              </w:tabs>
              <w:spacing w:after="58"/>
            </w:pPr>
            <w:r>
              <w:t>Dr. Tyndale discussed further progress with Nature and CPT about publishing guidelines. Nature has offered to work on logos and/or design features of the articles. CPIC should think about whether the preference would be to have abbreviated published guidelines that could go to the “front” of the journal</w:t>
            </w:r>
            <w:r w:rsidR="00277E00">
              <w:t xml:space="preserve"> (&lt; 2000 words)</w:t>
            </w:r>
            <w:r>
              <w:t xml:space="preserve"> vs somewhat more liberal word-</w:t>
            </w:r>
            <w:r w:rsidR="002A4D8C">
              <w:t>count</w:t>
            </w:r>
            <w:r>
              <w:t xml:space="preserve"> pieces that would go in the “back”; it was mentioned that this could be decided later.</w:t>
            </w:r>
          </w:p>
          <w:p w:rsidR="00593949" w:rsidRDefault="00593949" w:rsidP="004037A8">
            <w:pPr>
              <w:tabs>
                <w:tab w:val="left" w:pos="-388"/>
                <w:tab w:val="left" w:pos="0"/>
                <w:tab w:val="left" w:pos="450"/>
              </w:tabs>
              <w:spacing w:after="58"/>
            </w:pPr>
          </w:p>
          <w:p w:rsidR="00277E00" w:rsidRDefault="00277E00" w:rsidP="004037A8">
            <w:pPr>
              <w:tabs>
                <w:tab w:val="left" w:pos="-388"/>
                <w:tab w:val="left" w:pos="0"/>
                <w:tab w:val="left" w:pos="450"/>
              </w:tabs>
              <w:spacing w:after="58"/>
            </w:pPr>
            <w:r>
              <w:t xml:space="preserve">Goal is to have at least one “final” gene(s)/drug(s) guideline for CPIC to present at PGRN retreat in July 2010. </w:t>
            </w:r>
          </w:p>
          <w:p w:rsidR="00277E00" w:rsidRDefault="00277E00" w:rsidP="004037A8">
            <w:pPr>
              <w:tabs>
                <w:tab w:val="left" w:pos="-388"/>
                <w:tab w:val="left" w:pos="0"/>
                <w:tab w:val="left" w:pos="450"/>
              </w:tabs>
              <w:spacing w:after="58"/>
            </w:pPr>
          </w:p>
          <w:p w:rsidR="00277E00" w:rsidRDefault="00277E00" w:rsidP="004037A8">
            <w:pPr>
              <w:tabs>
                <w:tab w:val="left" w:pos="-388"/>
                <w:tab w:val="left" w:pos="0"/>
                <w:tab w:val="left" w:pos="450"/>
              </w:tabs>
              <w:spacing w:after="58"/>
            </w:pPr>
          </w:p>
          <w:p w:rsidR="00277E00" w:rsidRDefault="00277E00" w:rsidP="004037A8">
            <w:pPr>
              <w:tabs>
                <w:tab w:val="left" w:pos="-388"/>
                <w:tab w:val="left" w:pos="0"/>
                <w:tab w:val="left" w:pos="450"/>
              </w:tabs>
              <w:spacing w:after="58"/>
            </w:pPr>
          </w:p>
          <w:p w:rsidR="00AF21C8" w:rsidRDefault="00277E00" w:rsidP="004037A8">
            <w:pPr>
              <w:tabs>
                <w:tab w:val="left" w:pos="-388"/>
                <w:tab w:val="left" w:pos="0"/>
                <w:tab w:val="left" w:pos="450"/>
              </w:tabs>
              <w:spacing w:after="58"/>
            </w:pPr>
            <w:r>
              <w:t xml:space="preserve">There was substantial discussion about current draft guidelines (CYP2D6 and HLA/Abacavir. Items included drug-centric—e.g. warfarin--- vs gene-centric—e.g. CYP2D6. A challenge of the latter is a desire to not have the “first” published guideline omit any VERY important (already clinically-used) drugs. </w:t>
            </w:r>
            <w:r w:rsidR="007E1843">
              <w:t xml:space="preserve">Once a gene result goes into the chart, there is some desire that CPIC guidelines would not omit drug recommendations that are already presenting challenges to clinicians—hence the need to survey current practices to some extent. </w:t>
            </w:r>
            <w:r>
              <w:t>Limited discussion of psychiatric drugs was thought to be a weakness of current expertise---although Dr</w:t>
            </w:r>
            <w:r w:rsidR="00683E8A">
              <w:t>s. Kennedy and Mueller offered that they sometimes use CY</w:t>
            </w:r>
            <w:r w:rsidR="00537ACC">
              <w:t xml:space="preserve">P2D6 for some psychiatric drugs; perhaps a broader or differently worded survey of experts would turn up more drug/gene pairs worthy of CPIC coverage. </w:t>
            </w:r>
            <w:r w:rsidR="00683E8A">
              <w:t xml:space="preserve"> Whether CYP2D6 could go forward with codeine alone, +/- tamoxifen, +/- other drugs is still not 100% clear. </w:t>
            </w:r>
            <w:r w:rsidR="002A4D8C">
              <w:t xml:space="preserve">Group revisited that CPIC wants to drive the gene/drug pairs with the best evidence; original CPIC survey identified highest-use pairs as </w:t>
            </w:r>
            <w:r w:rsidR="002A4D8C">
              <w:lastRenderedPageBreak/>
              <w:t xml:space="preserve">CYP2C19/clopidogrel (reinforced by recent FDA black box warning), CYP2C9+VKORC1/warfarin, CYP2D6/tamoxifen, HLA/abacavir, TPMT/thiopurines as highest priority.   </w:t>
            </w:r>
            <w:r w:rsidR="007E1843">
              <w:t>There was additional discussion that other gene/drug pairs (CYP2C19/clopidogrel and TPMT/thiopurines) may be easier and more realistic to meet July deadline.</w:t>
            </w:r>
          </w:p>
          <w:p w:rsidR="00706062" w:rsidRDefault="00706062" w:rsidP="004037A8">
            <w:pPr>
              <w:tabs>
                <w:tab w:val="left" w:pos="-388"/>
                <w:tab w:val="left" w:pos="0"/>
                <w:tab w:val="left" w:pos="450"/>
              </w:tabs>
              <w:spacing w:after="58"/>
            </w:pPr>
          </w:p>
          <w:p w:rsidR="00F66DE5" w:rsidRDefault="00F66DE5" w:rsidP="004037A8">
            <w:pPr>
              <w:tabs>
                <w:tab w:val="left" w:pos="-388"/>
                <w:tab w:val="left" w:pos="0"/>
                <w:tab w:val="left" w:pos="450"/>
              </w:tabs>
              <w:spacing w:after="58"/>
            </w:pPr>
          </w:p>
          <w:p w:rsidR="00F66DE5" w:rsidRDefault="00F66DE5" w:rsidP="004037A8">
            <w:pPr>
              <w:tabs>
                <w:tab w:val="left" w:pos="-388"/>
                <w:tab w:val="left" w:pos="0"/>
                <w:tab w:val="left" w:pos="450"/>
              </w:tabs>
              <w:spacing w:after="58"/>
            </w:pPr>
          </w:p>
          <w:p w:rsidR="00EB56B7" w:rsidRDefault="00EB56B7" w:rsidP="004037A8">
            <w:pPr>
              <w:tabs>
                <w:tab w:val="left" w:pos="-388"/>
                <w:tab w:val="left" w:pos="0"/>
                <w:tab w:val="left" w:pos="450"/>
              </w:tabs>
              <w:spacing w:after="58"/>
            </w:pPr>
          </w:p>
          <w:p w:rsidR="00706062" w:rsidRDefault="00706062" w:rsidP="004037A8">
            <w:pPr>
              <w:tabs>
                <w:tab w:val="left" w:pos="-388"/>
                <w:tab w:val="left" w:pos="0"/>
                <w:tab w:val="left" w:pos="450"/>
              </w:tabs>
              <w:spacing w:after="58"/>
            </w:pPr>
          </w:p>
          <w:p w:rsidR="00706062" w:rsidRDefault="00706062" w:rsidP="004037A8">
            <w:pPr>
              <w:tabs>
                <w:tab w:val="left" w:pos="-388"/>
                <w:tab w:val="left" w:pos="0"/>
                <w:tab w:val="left" w:pos="450"/>
              </w:tabs>
              <w:spacing w:after="58"/>
            </w:pPr>
          </w:p>
          <w:p w:rsidR="00706062" w:rsidRDefault="00706062"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2A4D8C" w:rsidRDefault="002A4D8C" w:rsidP="004037A8">
            <w:pPr>
              <w:tabs>
                <w:tab w:val="left" w:pos="-388"/>
                <w:tab w:val="left" w:pos="0"/>
                <w:tab w:val="left" w:pos="450"/>
              </w:tabs>
              <w:spacing w:after="58"/>
            </w:pPr>
          </w:p>
          <w:p w:rsidR="00706062" w:rsidRDefault="00706062" w:rsidP="004037A8">
            <w:pPr>
              <w:tabs>
                <w:tab w:val="left" w:pos="-388"/>
                <w:tab w:val="left" w:pos="0"/>
                <w:tab w:val="left" w:pos="450"/>
              </w:tabs>
              <w:spacing w:after="58"/>
            </w:pPr>
            <w:r>
              <w:t>Several additional guideline grading scales presented and circulated prior to and after the call. Discussed that CPIC recommendations should have a level of “strength” for the recommendation, and that preferably, major evidence would have a grade for quality of evidence, and several scales were mentioned and circulated. In addition, if at all possible, the scales/grades chosen should be uniform for all CPIC guidelines in the future.</w:t>
            </w:r>
          </w:p>
          <w:p w:rsidR="00706062" w:rsidRDefault="00706062" w:rsidP="004037A8">
            <w:pPr>
              <w:tabs>
                <w:tab w:val="left" w:pos="-388"/>
                <w:tab w:val="left" w:pos="0"/>
                <w:tab w:val="left" w:pos="450"/>
              </w:tabs>
              <w:spacing w:after="58"/>
            </w:pPr>
          </w:p>
          <w:p w:rsidR="008F0614" w:rsidRDefault="008F0614" w:rsidP="004037A8">
            <w:pPr>
              <w:tabs>
                <w:tab w:val="left" w:pos="-388"/>
                <w:tab w:val="left" w:pos="0"/>
                <w:tab w:val="left" w:pos="450"/>
              </w:tabs>
              <w:spacing w:after="58"/>
            </w:pPr>
          </w:p>
          <w:p w:rsidR="0033416E" w:rsidRPr="00AD14AB" w:rsidRDefault="0033416E" w:rsidP="007F3F3A">
            <w:pPr>
              <w:tabs>
                <w:tab w:val="left" w:pos="-388"/>
                <w:tab w:val="left" w:pos="0"/>
                <w:tab w:val="left" w:pos="450"/>
              </w:tabs>
              <w:spacing w:after="58"/>
            </w:pPr>
          </w:p>
        </w:tc>
        <w:tc>
          <w:tcPr>
            <w:tcW w:w="4304" w:type="dxa"/>
          </w:tcPr>
          <w:p w:rsidR="00593949" w:rsidRDefault="00593949">
            <w:pPr>
              <w:tabs>
                <w:tab w:val="left" w:pos="-388"/>
                <w:tab w:val="left" w:pos="0"/>
                <w:tab w:val="left" w:pos="450"/>
              </w:tabs>
              <w:spacing w:after="58"/>
            </w:pPr>
            <w:r>
              <w:lastRenderedPageBreak/>
              <w:t xml:space="preserve">Further instructions on using Google Groups will follow from Teri. During future CPIC calls, we will try to use </w:t>
            </w:r>
            <w:r w:rsidR="002A4D8C">
              <w:t>WebEx</w:t>
            </w:r>
            <w:r>
              <w:t xml:space="preserve"> to facilitate looking at common documents and sites during calls.</w:t>
            </w:r>
          </w:p>
          <w:p w:rsidR="00593949" w:rsidRDefault="00593949">
            <w:pPr>
              <w:tabs>
                <w:tab w:val="left" w:pos="-388"/>
                <w:tab w:val="left" w:pos="0"/>
                <w:tab w:val="left" w:pos="450"/>
              </w:tabs>
              <w:spacing w:after="58"/>
            </w:pPr>
          </w:p>
          <w:p w:rsidR="00277E00" w:rsidRDefault="00277E00">
            <w:pPr>
              <w:tabs>
                <w:tab w:val="left" w:pos="-388"/>
                <w:tab w:val="left" w:pos="0"/>
                <w:tab w:val="left" w:pos="450"/>
              </w:tabs>
              <w:spacing w:after="58"/>
            </w:pPr>
            <w:r>
              <w:t>None needed now.</w:t>
            </w: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r>
              <w:t>Group felt this was do-able, but might better occur with a gene simpler than CYP2D6.</w:t>
            </w:r>
          </w:p>
          <w:p w:rsidR="00277E00" w:rsidRDefault="00277E00">
            <w:pPr>
              <w:tabs>
                <w:tab w:val="left" w:pos="-388"/>
                <w:tab w:val="left" w:pos="0"/>
                <w:tab w:val="left" w:pos="450"/>
              </w:tabs>
              <w:spacing w:after="58"/>
            </w:pPr>
          </w:p>
          <w:p w:rsidR="00277E00" w:rsidRDefault="00277E00">
            <w:pPr>
              <w:tabs>
                <w:tab w:val="left" w:pos="-388"/>
                <w:tab w:val="left" w:pos="0"/>
                <w:tab w:val="left" w:pos="450"/>
              </w:tabs>
              <w:spacing w:after="58"/>
            </w:pPr>
          </w:p>
          <w:p w:rsidR="00537ACC" w:rsidRDefault="00537ACC">
            <w:pPr>
              <w:tabs>
                <w:tab w:val="left" w:pos="-388"/>
                <w:tab w:val="left" w:pos="0"/>
                <w:tab w:val="left" w:pos="450"/>
              </w:tabs>
              <w:spacing w:after="58"/>
            </w:pPr>
            <w:r>
              <w:t xml:space="preserve">Continue to go forward with either a drug-centric or a gene-centric model. Gene summaries should be as generic as possible to apply across multiple drugs; drug-specific changes to gene-centric data (i.e. alleles that affect drug A but not drug B) should be noted on drug-specific summaries (at a minimum). </w:t>
            </w:r>
            <w:r w:rsidR="007E1843">
              <w:t>Moreover, each gene summary sh</w:t>
            </w:r>
            <w:r>
              <w:t>ould at least include a “short list” of affected drugs, only some of which would merit drug-specific summaries as well.</w:t>
            </w:r>
          </w:p>
          <w:p w:rsidR="00537ACC" w:rsidRDefault="00537ACC">
            <w:pPr>
              <w:tabs>
                <w:tab w:val="left" w:pos="-388"/>
                <w:tab w:val="left" w:pos="0"/>
                <w:tab w:val="left" w:pos="450"/>
              </w:tabs>
              <w:spacing w:after="58"/>
            </w:pPr>
          </w:p>
          <w:p w:rsidR="00537ACC" w:rsidRDefault="00537ACC">
            <w:pPr>
              <w:tabs>
                <w:tab w:val="left" w:pos="-388"/>
                <w:tab w:val="left" w:pos="0"/>
                <w:tab w:val="left" w:pos="450"/>
              </w:tabs>
              <w:spacing w:after="58"/>
            </w:pPr>
            <w:r>
              <w:t xml:space="preserve">Dr. Gaedigk offered to ask ASCPT if </w:t>
            </w:r>
            <w:r>
              <w:lastRenderedPageBreak/>
              <w:t xml:space="preserve">they’d be willing to allow a survey of their members on current clinical PGEN practices, which might elicit information to help inform </w:t>
            </w:r>
            <w:r w:rsidR="002A4D8C">
              <w:t>guidelines</w:t>
            </w:r>
            <w:r>
              <w:t>.</w:t>
            </w:r>
            <w:r w:rsidR="007E1843">
              <w:t xml:space="preserve"> Dr. Kuo also offered to help with survey.</w:t>
            </w:r>
          </w:p>
          <w:p w:rsidR="00537ACC" w:rsidRDefault="00537ACC">
            <w:pPr>
              <w:tabs>
                <w:tab w:val="left" w:pos="-388"/>
                <w:tab w:val="left" w:pos="0"/>
                <w:tab w:val="left" w:pos="450"/>
              </w:tabs>
              <w:spacing w:after="58"/>
            </w:pPr>
          </w:p>
          <w:p w:rsidR="00277E00" w:rsidRDefault="00537ACC">
            <w:pPr>
              <w:tabs>
                <w:tab w:val="left" w:pos="-388"/>
                <w:tab w:val="left" w:pos="0"/>
                <w:tab w:val="left" w:pos="450"/>
              </w:tabs>
              <w:spacing w:after="58"/>
            </w:pPr>
            <w:r>
              <w:t xml:space="preserve">Todd and Andrea will continue to work on CYP2D6 gene summary; Kris will add codeine. Those who want to advocate for psychiatric drugs and/or tamoxifen need to </w:t>
            </w:r>
            <w:r w:rsidR="002A4D8C">
              <w:t>volunteer</w:t>
            </w:r>
            <w:r>
              <w:t xml:space="preserve"> to help write---soon!</w:t>
            </w:r>
          </w:p>
          <w:p w:rsidR="007E1843" w:rsidRDefault="007E1843">
            <w:pPr>
              <w:tabs>
                <w:tab w:val="left" w:pos="-388"/>
                <w:tab w:val="left" w:pos="0"/>
                <w:tab w:val="left" w:pos="450"/>
              </w:tabs>
              <w:spacing w:after="58"/>
            </w:pPr>
          </w:p>
          <w:p w:rsidR="002A4D8C" w:rsidRDefault="007E1843" w:rsidP="002A4D8C">
            <w:pPr>
              <w:tabs>
                <w:tab w:val="left" w:pos="-388"/>
                <w:tab w:val="left" w:pos="0"/>
                <w:tab w:val="left" w:pos="450"/>
              </w:tabs>
              <w:spacing w:after="58"/>
            </w:pPr>
            <w:r>
              <w:t>Mary and Kris offered to draft TPMT/thiopurines.</w:t>
            </w:r>
            <w:r w:rsidR="002A4D8C">
              <w:t xml:space="preserve"> </w:t>
            </w:r>
          </w:p>
          <w:p w:rsidR="002A4D8C" w:rsidRDefault="002A4D8C" w:rsidP="002A4D8C">
            <w:pPr>
              <w:tabs>
                <w:tab w:val="left" w:pos="-388"/>
                <w:tab w:val="left" w:pos="0"/>
                <w:tab w:val="left" w:pos="450"/>
              </w:tabs>
              <w:spacing w:after="58"/>
            </w:pPr>
            <w:r>
              <w:t>Teri Klein and James Hoffman agreed to work on a draft guideline for HLA/abacavir.</w:t>
            </w:r>
          </w:p>
          <w:p w:rsidR="007E1843" w:rsidRDefault="007E1843">
            <w:pPr>
              <w:tabs>
                <w:tab w:val="left" w:pos="-388"/>
                <w:tab w:val="left" w:pos="0"/>
                <w:tab w:val="left" w:pos="450"/>
              </w:tabs>
              <w:spacing w:after="58"/>
            </w:pPr>
            <w:r>
              <w:t>Michelle Carillo offered to work with Alan Shuldiner on CYP2C19/clopidogrel.</w:t>
            </w:r>
          </w:p>
          <w:p w:rsidR="00537ACC" w:rsidRDefault="00537ACC">
            <w:pPr>
              <w:tabs>
                <w:tab w:val="left" w:pos="-388"/>
                <w:tab w:val="left" w:pos="0"/>
                <w:tab w:val="left" w:pos="450"/>
              </w:tabs>
              <w:spacing w:after="58"/>
            </w:pPr>
          </w:p>
          <w:p w:rsidR="00706062" w:rsidRDefault="00706062">
            <w:pPr>
              <w:tabs>
                <w:tab w:val="left" w:pos="-388"/>
                <w:tab w:val="left" w:pos="0"/>
                <w:tab w:val="left" w:pos="450"/>
              </w:tabs>
              <w:spacing w:after="58"/>
            </w:pPr>
            <w:r>
              <w:t>Next set of draft guidelines should include grading scales used for evidence and recommendations. Next call will be devoted to discussing grading systems.</w:t>
            </w:r>
          </w:p>
          <w:p w:rsidR="00706062" w:rsidRDefault="00706062">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7F3F3A" w:rsidRDefault="007F3F3A" w:rsidP="004170EC">
            <w:pPr>
              <w:tabs>
                <w:tab w:val="left" w:pos="-388"/>
                <w:tab w:val="left" w:pos="0"/>
                <w:tab w:val="left" w:pos="450"/>
              </w:tabs>
              <w:spacing w:after="58"/>
            </w:pPr>
          </w:p>
        </w:tc>
      </w:tr>
    </w:tbl>
    <w:p w:rsidR="00B47B24" w:rsidRDefault="00B47B24">
      <w:pPr>
        <w:tabs>
          <w:tab w:val="right" w:pos="14400"/>
        </w:tabs>
      </w:pPr>
    </w:p>
    <w:p w:rsidR="00A41A98" w:rsidRDefault="00A41A98">
      <w:pPr>
        <w:tabs>
          <w:tab w:val="right" w:pos="14400"/>
        </w:tabs>
      </w:pPr>
      <w:r>
        <w:t>Mary V. Relling, PharmD</w:t>
      </w:r>
    </w:p>
    <w:p w:rsidR="00A41A98" w:rsidRDefault="00A41A98">
      <w:pPr>
        <w:tabs>
          <w:tab w:val="right" w:pos="14400"/>
        </w:tabs>
      </w:pPr>
    </w:p>
    <w:p w:rsidR="00A41A98" w:rsidRDefault="00A41A98">
      <w:pPr>
        <w:tabs>
          <w:tab w:val="right" w:pos="14400"/>
        </w:tabs>
      </w:pPr>
      <w:r>
        <w:t>MVR:vg</w:t>
      </w:r>
    </w:p>
    <w:sectPr w:rsidR="00A41A98" w:rsidSect="00B91359">
      <w:endnotePr>
        <w:numFmt w:val="decimal"/>
      </w:endnotePr>
      <w:pgSz w:w="15840" w:h="12240" w:orient="landscape"/>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E2723"/>
    <w:rsid w:val="0002505E"/>
    <w:rsid w:val="000A4E1A"/>
    <w:rsid w:val="001275C0"/>
    <w:rsid w:val="00167896"/>
    <w:rsid w:val="00210C5C"/>
    <w:rsid w:val="00246A2E"/>
    <w:rsid w:val="00247AB2"/>
    <w:rsid w:val="00260B34"/>
    <w:rsid w:val="00271A9C"/>
    <w:rsid w:val="00277E00"/>
    <w:rsid w:val="002A4D8C"/>
    <w:rsid w:val="002C49CD"/>
    <w:rsid w:val="00333E31"/>
    <w:rsid w:val="0033416E"/>
    <w:rsid w:val="004037A8"/>
    <w:rsid w:val="004170EC"/>
    <w:rsid w:val="00490568"/>
    <w:rsid w:val="004A5DEB"/>
    <w:rsid w:val="004D4E60"/>
    <w:rsid w:val="004E2E8E"/>
    <w:rsid w:val="00537ACC"/>
    <w:rsid w:val="005639D7"/>
    <w:rsid w:val="00571ED4"/>
    <w:rsid w:val="00580E5F"/>
    <w:rsid w:val="00593949"/>
    <w:rsid w:val="005A7E37"/>
    <w:rsid w:val="005B3DCC"/>
    <w:rsid w:val="005B4621"/>
    <w:rsid w:val="005E2723"/>
    <w:rsid w:val="00612211"/>
    <w:rsid w:val="00620B4B"/>
    <w:rsid w:val="0067768F"/>
    <w:rsid w:val="00683E8A"/>
    <w:rsid w:val="00700E35"/>
    <w:rsid w:val="00706062"/>
    <w:rsid w:val="00736048"/>
    <w:rsid w:val="00740994"/>
    <w:rsid w:val="007942AE"/>
    <w:rsid w:val="007E1843"/>
    <w:rsid w:val="007F3F3A"/>
    <w:rsid w:val="00845007"/>
    <w:rsid w:val="00880B0B"/>
    <w:rsid w:val="008F0614"/>
    <w:rsid w:val="00983774"/>
    <w:rsid w:val="009A520D"/>
    <w:rsid w:val="00A41A98"/>
    <w:rsid w:val="00AD0FBB"/>
    <w:rsid w:val="00AD14AB"/>
    <w:rsid w:val="00AE4D0B"/>
    <w:rsid w:val="00AF21C8"/>
    <w:rsid w:val="00B212AC"/>
    <w:rsid w:val="00B457F1"/>
    <w:rsid w:val="00B47B24"/>
    <w:rsid w:val="00B567CD"/>
    <w:rsid w:val="00B74E84"/>
    <w:rsid w:val="00B91359"/>
    <w:rsid w:val="00BE110E"/>
    <w:rsid w:val="00C7700A"/>
    <w:rsid w:val="00CA43E4"/>
    <w:rsid w:val="00CF2234"/>
    <w:rsid w:val="00D072AC"/>
    <w:rsid w:val="00D55BD5"/>
    <w:rsid w:val="00D60E2E"/>
    <w:rsid w:val="00D82D23"/>
    <w:rsid w:val="00DA13D0"/>
    <w:rsid w:val="00E446F4"/>
    <w:rsid w:val="00E64B2B"/>
    <w:rsid w:val="00EB56B7"/>
    <w:rsid w:val="00EB58EC"/>
    <w:rsid w:val="00EE5EDB"/>
    <w:rsid w:val="00F146AA"/>
    <w:rsid w:val="00F61213"/>
    <w:rsid w:val="00F66DE5"/>
    <w:rsid w:val="00FD03E8"/>
    <w:rsid w:val="00FF360C"/>
    <w:rsid w:val="00FF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color w:val="0000FF"/>
      <w:u w:val="single"/>
    </w:rPr>
  </w:style>
  <w:style w:type="character" w:styleId="CommentReference">
    <w:name w:val="annotation reference"/>
    <w:basedOn w:val="DefaultParagraphFont"/>
    <w:rsid w:val="004A5DEB"/>
    <w:rPr>
      <w:sz w:val="16"/>
      <w:szCs w:val="16"/>
    </w:rPr>
  </w:style>
  <w:style w:type="paragraph" w:styleId="CommentText">
    <w:name w:val="annotation text"/>
    <w:basedOn w:val="Normal"/>
    <w:link w:val="CommentTextChar"/>
    <w:rsid w:val="004A5DEB"/>
    <w:rPr>
      <w:sz w:val="20"/>
    </w:rPr>
  </w:style>
  <w:style w:type="character" w:customStyle="1" w:styleId="CommentTextChar">
    <w:name w:val="Comment Text Char"/>
    <w:basedOn w:val="DefaultParagraphFont"/>
    <w:link w:val="CommentText"/>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b/>
      <w:bCs/>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help</cp:lastModifiedBy>
  <cp:revision>2</cp:revision>
  <cp:lastPrinted>2010-01-08T17:43:00Z</cp:lastPrinted>
  <dcterms:created xsi:type="dcterms:W3CDTF">2010-04-07T13:54:00Z</dcterms:created>
  <dcterms:modified xsi:type="dcterms:W3CDTF">2010-04-07T13:54:00Z</dcterms:modified>
</cp:coreProperties>
</file>