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AD" w:rsidRPr="00EA2223" w:rsidRDefault="009735AD" w:rsidP="005F6406">
      <w:pPr>
        <w:tabs>
          <w:tab w:val="center" w:pos="7200"/>
        </w:tabs>
        <w:jc w:val="center"/>
        <w:rPr>
          <w:rFonts w:asciiTheme="majorHAnsi" w:hAnsiTheme="majorHAnsi"/>
          <w:b/>
          <w:szCs w:val="22"/>
        </w:rPr>
      </w:pPr>
      <w:r w:rsidRPr="00EA2223">
        <w:rPr>
          <w:rFonts w:asciiTheme="majorHAnsi" w:hAnsiTheme="majorHAnsi"/>
          <w:b/>
          <w:szCs w:val="22"/>
        </w:rPr>
        <w:t>MINUTES</w:t>
      </w:r>
    </w:p>
    <w:p w:rsidR="009735AD" w:rsidRPr="00EA2223" w:rsidRDefault="009735AD" w:rsidP="005F6406">
      <w:pPr>
        <w:tabs>
          <w:tab w:val="center" w:pos="7200"/>
        </w:tabs>
        <w:jc w:val="center"/>
        <w:rPr>
          <w:rFonts w:asciiTheme="majorHAnsi" w:hAnsiTheme="majorHAnsi"/>
          <w:b/>
          <w:szCs w:val="22"/>
        </w:rPr>
      </w:pPr>
      <w:r w:rsidRPr="00EA2223">
        <w:rPr>
          <w:rFonts w:asciiTheme="majorHAnsi" w:hAnsiTheme="majorHAnsi"/>
          <w:b/>
          <w:szCs w:val="22"/>
        </w:rPr>
        <w:t>CPIC CONFERENCE CALL</w:t>
      </w:r>
    </w:p>
    <w:p w:rsidR="009735AD" w:rsidRPr="003D4320" w:rsidRDefault="009735AD" w:rsidP="005F6406">
      <w:pPr>
        <w:tabs>
          <w:tab w:val="left" w:pos="-388"/>
          <w:tab w:val="left" w:pos="0"/>
          <w:tab w:val="left" w:pos="450"/>
        </w:tabs>
        <w:rPr>
          <w:rFonts w:asciiTheme="majorHAnsi" w:hAnsiTheme="majorHAnsi"/>
          <w:szCs w:val="22"/>
        </w:rPr>
      </w:pPr>
    </w:p>
    <w:p w:rsidR="00EA2223" w:rsidRDefault="00EA2223" w:rsidP="005F6406">
      <w:pPr>
        <w:tabs>
          <w:tab w:val="left" w:pos="-388"/>
          <w:tab w:val="left" w:pos="0"/>
          <w:tab w:val="left" w:pos="450"/>
          <w:tab w:val="left" w:pos="1890"/>
        </w:tabs>
        <w:ind w:left="1440" w:hanging="1440"/>
        <w:rPr>
          <w:rFonts w:asciiTheme="majorHAnsi" w:hAnsiTheme="majorHAnsi"/>
          <w:szCs w:val="22"/>
        </w:rPr>
      </w:pPr>
    </w:p>
    <w:p w:rsidR="009735AD" w:rsidRPr="003D4320" w:rsidRDefault="009735AD" w:rsidP="005F6406">
      <w:pPr>
        <w:tabs>
          <w:tab w:val="left" w:pos="-388"/>
          <w:tab w:val="left" w:pos="0"/>
          <w:tab w:val="left" w:pos="450"/>
          <w:tab w:val="left" w:pos="1890"/>
        </w:tabs>
        <w:ind w:left="1440" w:hanging="1440"/>
        <w:rPr>
          <w:rFonts w:asciiTheme="majorHAnsi" w:hAnsiTheme="majorHAnsi"/>
          <w:szCs w:val="22"/>
        </w:rPr>
      </w:pPr>
      <w:r w:rsidRPr="003D4320">
        <w:rPr>
          <w:rFonts w:asciiTheme="majorHAnsi" w:hAnsiTheme="majorHAnsi"/>
          <w:szCs w:val="22"/>
        </w:rPr>
        <w:t>DATE:</w:t>
      </w:r>
      <w:r w:rsidRPr="003D4320">
        <w:rPr>
          <w:rFonts w:asciiTheme="majorHAnsi" w:hAnsiTheme="majorHAnsi"/>
          <w:szCs w:val="22"/>
        </w:rPr>
        <w:tab/>
      </w:r>
      <w:r w:rsidR="00BA069B">
        <w:rPr>
          <w:rFonts w:asciiTheme="majorHAnsi" w:hAnsiTheme="majorHAnsi"/>
          <w:szCs w:val="22"/>
        </w:rPr>
        <w:t>July 2</w:t>
      </w:r>
      <w:r w:rsidR="009277DF">
        <w:rPr>
          <w:rFonts w:asciiTheme="majorHAnsi" w:hAnsiTheme="majorHAnsi"/>
          <w:szCs w:val="22"/>
        </w:rPr>
        <w:t>, 2015</w:t>
      </w:r>
    </w:p>
    <w:p w:rsidR="009735AD" w:rsidRPr="003D4320" w:rsidRDefault="009735AD" w:rsidP="005F6406">
      <w:pPr>
        <w:tabs>
          <w:tab w:val="left" w:pos="-388"/>
          <w:tab w:val="left" w:pos="0"/>
          <w:tab w:val="left" w:pos="450"/>
          <w:tab w:val="left" w:pos="1890"/>
        </w:tabs>
        <w:rPr>
          <w:rFonts w:asciiTheme="majorHAnsi" w:hAnsiTheme="majorHAnsi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7290"/>
        <w:gridCol w:w="4304"/>
      </w:tblGrid>
      <w:tr w:rsidR="009735AD" w:rsidRPr="0029562D">
        <w:trPr>
          <w:tblHeader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5AD" w:rsidRPr="0029562D" w:rsidRDefault="009735AD" w:rsidP="005F6406">
            <w:pPr>
              <w:tabs>
                <w:tab w:val="left" w:pos="-388"/>
                <w:tab w:val="left" w:pos="0"/>
                <w:tab w:val="left" w:pos="450"/>
              </w:tabs>
              <w:spacing w:after="58"/>
              <w:rPr>
                <w:rFonts w:asciiTheme="majorHAnsi" w:hAnsiTheme="majorHAnsi"/>
                <w:szCs w:val="22"/>
              </w:rPr>
            </w:pPr>
            <w:r w:rsidRPr="0029562D">
              <w:rPr>
                <w:rFonts w:asciiTheme="majorHAnsi" w:hAnsiTheme="majorHAnsi"/>
                <w:szCs w:val="22"/>
              </w:rPr>
              <w:t>TOPIC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5AD" w:rsidRPr="0029562D" w:rsidRDefault="009735AD" w:rsidP="005F6406">
            <w:pPr>
              <w:tabs>
                <w:tab w:val="left" w:pos="-388"/>
                <w:tab w:val="left" w:pos="0"/>
                <w:tab w:val="left" w:pos="450"/>
              </w:tabs>
              <w:spacing w:after="58"/>
              <w:rPr>
                <w:rFonts w:asciiTheme="majorHAnsi" w:hAnsiTheme="majorHAnsi"/>
                <w:szCs w:val="22"/>
              </w:rPr>
            </w:pPr>
            <w:r w:rsidRPr="0029562D">
              <w:rPr>
                <w:rFonts w:asciiTheme="majorHAnsi" w:hAnsiTheme="majorHAnsi"/>
                <w:szCs w:val="22"/>
              </w:rPr>
              <w:t>DISCUSSION/ACTION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5AD" w:rsidRPr="0029562D" w:rsidRDefault="009735AD" w:rsidP="005F6406">
            <w:pPr>
              <w:tabs>
                <w:tab w:val="left" w:pos="-388"/>
                <w:tab w:val="left" w:pos="0"/>
                <w:tab w:val="left" w:pos="450"/>
              </w:tabs>
              <w:spacing w:after="58"/>
              <w:rPr>
                <w:rFonts w:asciiTheme="majorHAnsi" w:hAnsiTheme="majorHAnsi"/>
                <w:szCs w:val="22"/>
              </w:rPr>
            </w:pPr>
            <w:r w:rsidRPr="0029562D">
              <w:rPr>
                <w:rFonts w:asciiTheme="majorHAnsi" w:hAnsiTheme="majorHAnsi"/>
                <w:szCs w:val="22"/>
              </w:rPr>
              <w:t>FOLLOW-UP</w:t>
            </w:r>
          </w:p>
        </w:tc>
      </w:tr>
      <w:tr w:rsidR="00ED336A" w:rsidRPr="0029562D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36A" w:rsidRPr="0029562D" w:rsidRDefault="00D92FAD" w:rsidP="006E5188">
            <w:pPr>
              <w:widowControl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Housekeeping Announcements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09" w:rsidRPr="0029562D" w:rsidRDefault="00D92FAD" w:rsidP="00D92FAD">
            <w:pPr>
              <w:widowControl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Attendance will be taken by poll after each conference call. Members will receive an email with a doodle link after each call. Please </w:t>
            </w:r>
            <w:r w:rsidRPr="00D92FAD">
              <w:rPr>
                <w:rFonts w:asciiTheme="majorHAnsi" w:hAnsiTheme="majorHAnsi"/>
                <w:szCs w:val="22"/>
              </w:rPr>
              <w:t xml:space="preserve">enter </w:t>
            </w:r>
            <w:r>
              <w:rPr>
                <w:rFonts w:asciiTheme="majorHAnsi" w:hAnsiTheme="majorHAnsi"/>
                <w:szCs w:val="22"/>
              </w:rPr>
              <w:t>your</w:t>
            </w:r>
            <w:r w:rsidRPr="00D92FAD">
              <w:rPr>
                <w:rFonts w:asciiTheme="majorHAnsi" w:hAnsiTheme="majorHAnsi"/>
                <w:szCs w:val="22"/>
              </w:rPr>
              <w:t xml:space="preserve"> first and last name and check the box indicating you were in attendance</w:t>
            </w:r>
            <w:r>
              <w:rPr>
                <w:rFonts w:asciiTheme="majorHAnsi" w:hAnsiTheme="majorHAnsi"/>
                <w:szCs w:val="22"/>
              </w:rPr>
              <w:t>. No action required if you were unable to make the conference call.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36A" w:rsidRPr="0029562D" w:rsidRDefault="00D92FAD" w:rsidP="00D92FAD">
            <w:pPr>
              <w:pStyle w:val="ListParagraph"/>
              <w:widowControl/>
              <w:tabs>
                <w:tab w:val="left" w:pos="526"/>
                <w:tab w:val="left" w:pos="1102"/>
                <w:tab w:val="left" w:pos="1627"/>
                <w:tab w:val="left" w:pos="2152"/>
              </w:tabs>
              <w:ind w:left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Kelly will send the poll link after each conference call.</w:t>
            </w:r>
          </w:p>
        </w:tc>
      </w:tr>
      <w:tr w:rsidR="00A9197A" w:rsidRPr="0029562D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97A" w:rsidRPr="0029562D" w:rsidRDefault="00D92FAD" w:rsidP="0034505C">
            <w:pPr>
              <w:widowControl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CPIC guidelines in progress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FAD" w:rsidRPr="0029562D" w:rsidRDefault="0037317C" w:rsidP="00D92FAD">
            <w:pPr>
              <w:widowControl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-</w:t>
            </w:r>
            <w:r w:rsidR="00D92FAD" w:rsidRPr="0029562D">
              <w:rPr>
                <w:rFonts w:asciiTheme="majorHAnsi" w:hAnsiTheme="majorHAnsi"/>
                <w:i/>
                <w:szCs w:val="22"/>
              </w:rPr>
              <w:t>CYP2D6</w:t>
            </w:r>
            <w:r w:rsidR="00D92FAD" w:rsidRPr="0029562D">
              <w:rPr>
                <w:rFonts w:asciiTheme="majorHAnsi" w:hAnsiTheme="majorHAnsi"/>
                <w:szCs w:val="22"/>
              </w:rPr>
              <w:t xml:space="preserve">/SSRI: </w:t>
            </w:r>
            <w:r w:rsidR="002C2AB3">
              <w:rPr>
                <w:rFonts w:asciiTheme="majorHAnsi" w:hAnsiTheme="majorHAnsi"/>
                <w:szCs w:val="22"/>
              </w:rPr>
              <w:t>Accepted (</w:t>
            </w:r>
            <w:r w:rsidR="002C2AB3" w:rsidRPr="002C2AB3">
              <w:rPr>
                <w:rFonts w:asciiTheme="majorHAnsi" w:hAnsiTheme="majorHAnsi"/>
                <w:szCs w:val="22"/>
              </w:rPr>
              <w:t>https://www.pharmgkb.org/drug/PA450801</w:t>
            </w:r>
            <w:r w:rsidR="002C2AB3">
              <w:rPr>
                <w:rFonts w:asciiTheme="majorHAnsi" w:hAnsiTheme="majorHAnsi"/>
                <w:szCs w:val="22"/>
              </w:rPr>
              <w:t>)</w:t>
            </w:r>
          </w:p>
          <w:p w:rsidR="00BA5BE7" w:rsidRDefault="00BA5BE7" w:rsidP="00D92FAD">
            <w:pPr>
              <w:widowControl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-</w:t>
            </w:r>
            <w:r w:rsidRPr="00BA5BE7">
              <w:rPr>
                <w:rFonts w:asciiTheme="majorHAnsi" w:hAnsiTheme="majorHAnsi"/>
                <w:i/>
                <w:szCs w:val="22"/>
              </w:rPr>
              <w:t>UGT1A1</w:t>
            </w:r>
            <w:r>
              <w:rPr>
                <w:rFonts w:asciiTheme="majorHAnsi" w:hAnsiTheme="majorHAnsi"/>
                <w:szCs w:val="22"/>
              </w:rPr>
              <w:t xml:space="preserve">/atazanavir: </w:t>
            </w:r>
            <w:r w:rsidR="002C2AB3">
              <w:rPr>
                <w:rFonts w:asciiTheme="majorHAnsi" w:hAnsiTheme="majorHAnsi"/>
                <w:szCs w:val="22"/>
              </w:rPr>
              <w:t>Sent out for CPIC review; Will submit soon.</w:t>
            </w:r>
          </w:p>
          <w:p w:rsidR="009277DF" w:rsidRDefault="009277DF" w:rsidP="00D92FAD">
            <w:pPr>
              <w:widowControl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-CYP2D6/</w:t>
            </w:r>
            <w:proofErr w:type="spellStart"/>
            <w:r>
              <w:rPr>
                <w:rFonts w:asciiTheme="majorHAnsi" w:hAnsiTheme="majorHAnsi"/>
                <w:szCs w:val="22"/>
              </w:rPr>
              <w:t>tamoxifen</w:t>
            </w:r>
            <w:proofErr w:type="spellEnd"/>
            <w:r>
              <w:rPr>
                <w:rFonts w:asciiTheme="majorHAnsi" w:hAnsiTheme="majorHAnsi"/>
                <w:szCs w:val="22"/>
              </w:rPr>
              <w:t xml:space="preserve">: </w:t>
            </w:r>
            <w:r w:rsidR="002C2AB3">
              <w:rPr>
                <w:rFonts w:asciiTheme="majorHAnsi" w:hAnsiTheme="majorHAnsi"/>
                <w:szCs w:val="22"/>
              </w:rPr>
              <w:t>Evidence review underway</w:t>
            </w:r>
          </w:p>
          <w:p w:rsidR="00BA5BE7" w:rsidRDefault="00BA5BE7" w:rsidP="00D92FAD">
            <w:pPr>
              <w:widowControl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-</w:t>
            </w:r>
            <w:r w:rsidRPr="00BA5BE7">
              <w:rPr>
                <w:rFonts w:asciiTheme="majorHAnsi" w:hAnsiTheme="majorHAnsi"/>
                <w:i/>
                <w:szCs w:val="22"/>
              </w:rPr>
              <w:t>CYP2C19</w:t>
            </w:r>
            <w:r>
              <w:rPr>
                <w:rFonts w:asciiTheme="majorHAnsi" w:hAnsiTheme="majorHAnsi"/>
                <w:szCs w:val="22"/>
              </w:rPr>
              <w:t xml:space="preserve">/voriconazole: </w:t>
            </w:r>
            <w:r w:rsidR="002C2AB3">
              <w:rPr>
                <w:rFonts w:asciiTheme="majorHAnsi" w:hAnsiTheme="majorHAnsi"/>
                <w:szCs w:val="22"/>
              </w:rPr>
              <w:t>Evidence review underway</w:t>
            </w:r>
          </w:p>
          <w:p w:rsidR="00D92FAD" w:rsidRPr="0029562D" w:rsidRDefault="00BA5BE7" w:rsidP="00D92FAD">
            <w:pPr>
              <w:widowControl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 </w:t>
            </w:r>
          </w:p>
          <w:p w:rsidR="00D92FAD" w:rsidRPr="0029562D" w:rsidRDefault="00D92FAD" w:rsidP="00D92FAD">
            <w:pPr>
              <w:widowControl/>
              <w:rPr>
                <w:rFonts w:asciiTheme="majorHAnsi" w:hAnsiTheme="majorHAnsi"/>
                <w:szCs w:val="22"/>
              </w:rPr>
            </w:pPr>
            <w:r w:rsidRPr="0029562D">
              <w:rPr>
                <w:rFonts w:asciiTheme="majorHAnsi" w:hAnsiTheme="majorHAnsi"/>
                <w:szCs w:val="22"/>
              </w:rPr>
              <w:t>Guideline Updates:</w:t>
            </w:r>
          </w:p>
          <w:p w:rsidR="00A9197A" w:rsidRDefault="00D92FAD" w:rsidP="00BA5BE7">
            <w:pPr>
              <w:widowControl/>
              <w:rPr>
                <w:rFonts w:asciiTheme="majorHAnsi" w:hAnsiTheme="majorHAnsi"/>
                <w:szCs w:val="22"/>
              </w:rPr>
            </w:pPr>
            <w:r w:rsidRPr="0029562D">
              <w:rPr>
                <w:rFonts w:asciiTheme="majorHAnsi" w:hAnsiTheme="majorHAnsi"/>
                <w:szCs w:val="22"/>
              </w:rPr>
              <w:t xml:space="preserve">- </w:t>
            </w:r>
            <w:r w:rsidRPr="00470901">
              <w:rPr>
                <w:rFonts w:asciiTheme="majorHAnsi" w:hAnsiTheme="majorHAnsi"/>
                <w:i/>
                <w:szCs w:val="22"/>
              </w:rPr>
              <w:t>HLA-B</w:t>
            </w:r>
            <w:r w:rsidRPr="0029562D">
              <w:rPr>
                <w:rFonts w:asciiTheme="majorHAnsi" w:hAnsiTheme="majorHAnsi"/>
                <w:szCs w:val="22"/>
              </w:rPr>
              <w:t xml:space="preserve">/allopurinol: </w:t>
            </w:r>
            <w:r w:rsidR="002C2AB3">
              <w:rPr>
                <w:rFonts w:asciiTheme="majorHAnsi" w:hAnsiTheme="majorHAnsi"/>
                <w:szCs w:val="22"/>
              </w:rPr>
              <w:t>Accepted (</w:t>
            </w:r>
            <w:r w:rsidR="002C2AB3" w:rsidRPr="002C2AB3">
              <w:rPr>
                <w:rFonts w:asciiTheme="majorHAnsi" w:hAnsiTheme="majorHAnsi"/>
                <w:szCs w:val="22"/>
              </w:rPr>
              <w:t>www.pharmgkb.org/drug/PA448320</w:t>
            </w:r>
            <w:r w:rsidR="002C2AB3">
              <w:rPr>
                <w:rFonts w:asciiTheme="majorHAnsi" w:hAnsiTheme="majorHAnsi"/>
                <w:szCs w:val="22"/>
              </w:rPr>
              <w:t>)</w:t>
            </w:r>
          </w:p>
          <w:p w:rsidR="000F60D5" w:rsidRPr="0029562D" w:rsidRDefault="000F60D5" w:rsidP="00BA5BE7">
            <w:pPr>
              <w:widowControl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- CYP2C</w:t>
            </w:r>
            <w:r w:rsidR="0037317C">
              <w:rPr>
                <w:rFonts w:asciiTheme="majorHAnsi" w:hAnsiTheme="majorHAnsi"/>
                <w:szCs w:val="22"/>
              </w:rPr>
              <w:t>9/VK</w:t>
            </w:r>
            <w:bookmarkStart w:id="0" w:name="_GoBack"/>
            <w:bookmarkEnd w:id="0"/>
            <w:r w:rsidR="009277DF">
              <w:rPr>
                <w:rFonts w:asciiTheme="majorHAnsi" w:hAnsiTheme="majorHAnsi"/>
                <w:szCs w:val="22"/>
              </w:rPr>
              <w:t>ORC1, warfarin: Evidence review underway.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97A" w:rsidRPr="0029562D" w:rsidRDefault="005651C5" w:rsidP="009B5126">
            <w:pPr>
              <w:pStyle w:val="ListParagraph"/>
              <w:widowControl/>
              <w:tabs>
                <w:tab w:val="left" w:pos="526"/>
                <w:tab w:val="left" w:pos="1102"/>
                <w:tab w:val="left" w:pos="1627"/>
                <w:tab w:val="left" w:pos="2152"/>
              </w:tabs>
              <w:ind w:left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Kelly will follow-up.</w:t>
            </w:r>
          </w:p>
        </w:tc>
      </w:tr>
      <w:tr w:rsidR="002C2AB3" w:rsidRPr="0029562D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AB3" w:rsidRDefault="002C2AB3" w:rsidP="004F6209">
            <w:pPr>
              <w:widowControl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ASHP Endorsement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AB3" w:rsidRDefault="002C2AB3" w:rsidP="00DF46F0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ASHP has endorsed two more CPIC </w:t>
            </w:r>
            <w:proofErr w:type="gramStart"/>
            <w:r>
              <w:rPr>
                <w:rFonts w:asciiTheme="majorHAnsi" w:hAnsiTheme="majorHAnsi"/>
                <w:szCs w:val="22"/>
              </w:rPr>
              <w:t>guidelines,</w:t>
            </w:r>
            <w:proofErr w:type="gramEnd"/>
            <w:r>
              <w:rPr>
                <w:rFonts w:asciiTheme="majorHAnsi" w:hAnsiTheme="majorHAnsi"/>
                <w:szCs w:val="22"/>
              </w:rPr>
              <w:t xml:space="preserve"> </w:t>
            </w:r>
            <w:r w:rsidRPr="002C2AB3">
              <w:rPr>
                <w:rFonts w:asciiTheme="majorHAnsi" w:hAnsiTheme="majorHAnsi"/>
                <w:i/>
                <w:szCs w:val="22"/>
              </w:rPr>
              <w:t>SLCO1B1</w:t>
            </w:r>
            <w:r>
              <w:rPr>
                <w:rFonts w:asciiTheme="majorHAnsi" w:hAnsiTheme="majorHAnsi"/>
                <w:szCs w:val="22"/>
              </w:rPr>
              <w:t xml:space="preserve">/simvastatin and </w:t>
            </w:r>
            <w:r w:rsidRPr="002C2AB3">
              <w:rPr>
                <w:rFonts w:asciiTheme="majorHAnsi" w:hAnsiTheme="majorHAnsi"/>
                <w:i/>
                <w:szCs w:val="22"/>
              </w:rPr>
              <w:t>HLA-B</w:t>
            </w:r>
            <w:r>
              <w:rPr>
                <w:rFonts w:asciiTheme="majorHAnsi" w:hAnsiTheme="majorHAnsi"/>
                <w:szCs w:val="22"/>
              </w:rPr>
              <w:t xml:space="preserve">/abacavir (see </w:t>
            </w:r>
            <w:hyperlink r:id="rId8" w:history="1">
              <w:r w:rsidRPr="008B3FD5">
                <w:rPr>
                  <w:rStyle w:val="Hyperlink"/>
                  <w:rFonts w:asciiTheme="majorHAnsi" w:hAnsiTheme="majorHAnsi"/>
                  <w:szCs w:val="22"/>
                </w:rPr>
                <w:t>http://www.ashp.org/menu/PracticePolicy/PolicyPositionsGuidelinesBestPractices/BrowsebyDocumentType/EndorsedDocuments.aspx</w:t>
              </w:r>
            </w:hyperlink>
            <w:r>
              <w:rPr>
                <w:rFonts w:asciiTheme="majorHAnsi" w:hAnsiTheme="majorHAnsi"/>
                <w:szCs w:val="22"/>
              </w:rPr>
              <w:t>). The next guidelines under consideration for ASHP endorsement will be the TCA and SSRI guidelines.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AB3" w:rsidRDefault="002C2AB3" w:rsidP="000F60D5">
            <w:pPr>
              <w:pStyle w:val="ListParagraph"/>
              <w:widowControl/>
              <w:tabs>
                <w:tab w:val="left" w:pos="526"/>
                <w:tab w:val="left" w:pos="1102"/>
                <w:tab w:val="left" w:pos="1627"/>
                <w:tab w:val="left" w:pos="2152"/>
              </w:tabs>
              <w:ind w:left="0"/>
              <w:rPr>
                <w:rFonts w:asciiTheme="majorHAnsi" w:hAnsiTheme="majorHAnsi"/>
                <w:szCs w:val="22"/>
              </w:rPr>
            </w:pPr>
          </w:p>
        </w:tc>
      </w:tr>
      <w:tr w:rsidR="00526722" w:rsidRPr="0029562D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722" w:rsidRDefault="004E5A7D" w:rsidP="002C2AB3">
            <w:pPr>
              <w:widowControl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CPIC Term Standardization Project-Delphi </w:t>
            </w:r>
            <w:r w:rsidR="002C2AB3">
              <w:rPr>
                <w:rFonts w:asciiTheme="majorHAnsi" w:hAnsiTheme="majorHAnsi"/>
                <w:szCs w:val="22"/>
              </w:rPr>
              <w:t>3</w:t>
            </w:r>
            <w:r>
              <w:rPr>
                <w:rFonts w:asciiTheme="majorHAnsi" w:hAnsiTheme="majorHAnsi"/>
                <w:szCs w:val="22"/>
              </w:rPr>
              <w:t xml:space="preserve"> results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722" w:rsidRDefault="002060AA" w:rsidP="00A24940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47 out of the 58 experts who participated in survey 1 and 2 participated in Survey 3. </w:t>
            </w:r>
            <w:r w:rsidR="004E5A7D">
              <w:rPr>
                <w:rFonts w:asciiTheme="majorHAnsi" w:hAnsiTheme="majorHAnsi"/>
                <w:szCs w:val="22"/>
              </w:rPr>
              <w:t xml:space="preserve">Kelly presented </w:t>
            </w:r>
            <w:r w:rsidR="002C2AB3">
              <w:rPr>
                <w:rFonts w:asciiTheme="majorHAnsi" w:hAnsiTheme="majorHAnsi"/>
                <w:szCs w:val="22"/>
              </w:rPr>
              <w:t xml:space="preserve">the final </w:t>
            </w:r>
            <w:r>
              <w:rPr>
                <w:rFonts w:asciiTheme="majorHAnsi" w:hAnsiTheme="majorHAnsi"/>
                <w:szCs w:val="22"/>
              </w:rPr>
              <w:t>sets of terms</w:t>
            </w:r>
            <w:r w:rsidR="002C2AB3">
              <w:rPr>
                <w:rFonts w:asciiTheme="majorHAnsi" w:hAnsiTheme="majorHAnsi"/>
                <w:szCs w:val="22"/>
              </w:rPr>
              <w:t xml:space="preserve"> that will be retained</w:t>
            </w:r>
            <w:r w:rsidR="004E5A7D">
              <w:rPr>
                <w:rFonts w:asciiTheme="majorHAnsi" w:hAnsiTheme="majorHAnsi"/>
                <w:szCs w:val="22"/>
              </w:rPr>
              <w:t xml:space="preserve"> from the </w:t>
            </w:r>
            <w:r w:rsidR="002C2AB3">
              <w:rPr>
                <w:rFonts w:asciiTheme="majorHAnsi" w:hAnsiTheme="majorHAnsi"/>
                <w:szCs w:val="22"/>
              </w:rPr>
              <w:t>third</w:t>
            </w:r>
            <w:r w:rsidR="004E5A7D">
              <w:rPr>
                <w:rFonts w:asciiTheme="majorHAnsi" w:hAnsiTheme="majorHAnsi"/>
                <w:szCs w:val="22"/>
              </w:rPr>
              <w:t xml:space="preserve"> survey to CPIC members </w:t>
            </w:r>
            <w:r>
              <w:rPr>
                <w:rFonts w:asciiTheme="majorHAnsi" w:hAnsiTheme="majorHAnsi"/>
                <w:szCs w:val="22"/>
              </w:rPr>
              <w:t xml:space="preserve">(1-3 sets of terms/gene group) </w:t>
            </w:r>
            <w:r w:rsidR="004E5A7D">
              <w:rPr>
                <w:rFonts w:asciiTheme="majorHAnsi" w:hAnsiTheme="majorHAnsi"/>
                <w:szCs w:val="22"/>
              </w:rPr>
              <w:t>(</w:t>
            </w:r>
            <w:r w:rsidR="002C2AB3">
              <w:rPr>
                <w:rFonts w:asciiTheme="majorHAnsi" w:hAnsiTheme="majorHAnsi"/>
                <w:szCs w:val="22"/>
              </w:rPr>
              <w:t xml:space="preserve">to see full results from Survey 3 please see </w:t>
            </w:r>
            <w:r w:rsidR="00C24300" w:rsidRPr="00C24300">
              <w:rPr>
                <w:rFonts w:asciiTheme="majorHAnsi" w:hAnsiTheme="majorHAnsi"/>
                <w:szCs w:val="22"/>
              </w:rPr>
              <w:t>https://www.pharmgkb.org/page/cpicTermProject</w:t>
            </w:r>
            <w:r w:rsidR="004E5A7D">
              <w:rPr>
                <w:rFonts w:asciiTheme="majorHAnsi" w:hAnsiTheme="majorHAnsi"/>
                <w:szCs w:val="22"/>
              </w:rPr>
              <w:t xml:space="preserve">). </w:t>
            </w:r>
            <w:r w:rsidR="00A24940">
              <w:rPr>
                <w:rFonts w:asciiTheme="majorHAnsi" w:hAnsiTheme="majorHAnsi"/>
                <w:szCs w:val="22"/>
              </w:rPr>
              <w:t>E</w:t>
            </w:r>
            <w:r w:rsidR="00485DCF">
              <w:rPr>
                <w:rFonts w:asciiTheme="majorHAnsi" w:hAnsiTheme="majorHAnsi"/>
                <w:szCs w:val="22"/>
              </w:rPr>
              <w:t xml:space="preserve">xperts will be asked </w:t>
            </w:r>
            <w:r w:rsidR="00A24940">
              <w:rPr>
                <w:rFonts w:asciiTheme="majorHAnsi" w:hAnsiTheme="majorHAnsi"/>
                <w:szCs w:val="22"/>
              </w:rPr>
              <w:t>if the top set of terms from Survey 3 are acceptable</w:t>
            </w:r>
            <w:r>
              <w:rPr>
                <w:rFonts w:asciiTheme="majorHAnsi" w:hAnsiTheme="majorHAnsi"/>
                <w:szCs w:val="22"/>
              </w:rPr>
              <w:t xml:space="preserve">. We have consensus (&gt;70%) for the high risk allele terms (e.g., HLA-B). VKORC1 will not be included in the next survey as </w:t>
            </w:r>
            <w:r w:rsidRPr="002060AA">
              <w:rPr>
                <w:rFonts w:asciiTheme="majorHAnsi" w:hAnsiTheme="majorHAnsi"/>
                <w:szCs w:val="22"/>
              </w:rPr>
              <w:t>we will likely be unable to reach consensus with the current retained terms</w:t>
            </w:r>
            <w:r>
              <w:rPr>
                <w:rFonts w:asciiTheme="majorHAnsi" w:hAnsiTheme="majorHAnsi"/>
                <w:szCs w:val="22"/>
              </w:rPr>
              <w:t xml:space="preserve">. Survey 4 will be sent to CPIC Informatics next week for testing and then sent out to participating experts the following week. We hope this will be the last survey. 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722" w:rsidRDefault="00525FC7" w:rsidP="000F60D5">
            <w:pPr>
              <w:pStyle w:val="ListParagraph"/>
              <w:widowControl/>
              <w:tabs>
                <w:tab w:val="left" w:pos="526"/>
                <w:tab w:val="left" w:pos="1102"/>
                <w:tab w:val="left" w:pos="1627"/>
                <w:tab w:val="left" w:pos="2152"/>
              </w:tabs>
              <w:ind w:left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Kelly </w:t>
            </w:r>
            <w:r w:rsidR="00DF46F0">
              <w:rPr>
                <w:rFonts w:asciiTheme="majorHAnsi" w:hAnsiTheme="majorHAnsi"/>
                <w:szCs w:val="22"/>
              </w:rPr>
              <w:t xml:space="preserve">will </w:t>
            </w:r>
            <w:r>
              <w:rPr>
                <w:rFonts w:asciiTheme="majorHAnsi" w:hAnsiTheme="majorHAnsi"/>
                <w:szCs w:val="22"/>
              </w:rPr>
              <w:t>continue to update CPIC members on the progress of this project.</w:t>
            </w:r>
          </w:p>
        </w:tc>
      </w:tr>
    </w:tbl>
    <w:p w:rsidR="009735AD" w:rsidRPr="003D4320" w:rsidRDefault="009735AD" w:rsidP="00D176EC">
      <w:pPr>
        <w:pStyle w:val="PlainText"/>
        <w:rPr>
          <w:rFonts w:asciiTheme="majorHAnsi" w:hAnsiTheme="majorHAnsi"/>
          <w:sz w:val="22"/>
          <w:szCs w:val="22"/>
        </w:rPr>
      </w:pPr>
    </w:p>
    <w:sectPr w:rsidR="009735AD" w:rsidRPr="003D4320" w:rsidSect="00B91359">
      <w:endnotePr>
        <w:numFmt w:val="decimal"/>
      </w:endnotePr>
      <w:pgSz w:w="15840" w:h="12240" w:orient="landscape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E1" w:rsidRDefault="002143E1" w:rsidP="00E00679">
      <w:r>
        <w:separator/>
      </w:r>
    </w:p>
  </w:endnote>
  <w:endnote w:type="continuationSeparator" w:id="0">
    <w:p w:rsidR="002143E1" w:rsidRDefault="002143E1" w:rsidP="00E0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E1" w:rsidRDefault="002143E1" w:rsidP="00E00679">
      <w:r>
        <w:separator/>
      </w:r>
    </w:p>
  </w:footnote>
  <w:footnote w:type="continuationSeparator" w:id="0">
    <w:p w:rsidR="002143E1" w:rsidRDefault="002143E1" w:rsidP="00E00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191"/>
    <w:multiLevelType w:val="hybridMultilevel"/>
    <w:tmpl w:val="3E5CA224"/>
    <w:lvl w:ilvl="0" w:tplc="D43C8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A608E">
      <w:start w:val="38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E1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C5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04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22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CC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A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E8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C45C0C"/>
    <w:multiLevelType w:val="hybridMultilevel"/>
    <w:tmpl w:val="1958C7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86779F2"/>
    <w:multiLevelType w:val="hybridMultilevel"/>
    <w:tmpl w:val="2CCCD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A5464"/>
    <w:multiLevelType w:val="hybridMultilevel"/>
    <w:tmpl w:val="9782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D3C3B"/>
    <w:multiLevelType w:val="hybridMultilevel"/>
    <w:tmpl w:val="EB8CF17A"/>
    <w:lvl w:ilvl="0" w:tplc="0D2CC506">
      <w:numFmt w:val="bullet"/>
      <w:lvlText w:val="-"/>
      <w:lvlJc w:val="left"/>
      <w:pPr>
        <w:ind w:left="54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1E82983"/>
    <w:multiLevelType w:val="hybridMultilevel"/>
    <w:tmpl w:val="4614CE4E"/>
    <w:lvl w:ilvl="0" w:tplc="56AEB3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32145"/>
    <w:multiLevelType w:val="hybridMultilevel"/>
    <w:tmpl w:val="3A8C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1194A"/>
    <w:multiLevelType w:val="hybridMultilevel"/>
    <w:tmpl w:val="B9DA61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50E1967"/>
    <w:multiLevelType w:val="hybridMultilevel"/>
    <w:tmpl w:val="5266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07357"/>
    <w:multiLevelType w:val="hybridMultilevel"/>
    <w:tmpl w:val="F5A695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1AF0D9D"/>
    <w:multiLevelType w:val="hybridMultilevel"/>
    <w:tmpl w:val="D458F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D3D4C"/>
    <w:multiLevelType w:val="hybridMultilevel"/>
    <w:tmpl w:val="A4E6B434"/>
    <w:lvl w:ilvl="0" w:tplc="810062C6">
      <w:numFmt w:val="bullet"/>
      <w:lvlText w:val="-"/>
      <w:lvlJc w:val="left"/>
      <w:pPr>
        <w:ind w:left="54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4B0415C0"/>
    <w:multiLevelType w:val="hybridMultilevel"/>
    <w:tmpl w:val="588A1714"/>
    <w:lvl w:ilvl="0" w:tplc="E7EE4B26">
      <w:numFmt w:val="bullet"/>
      <w:lvlText w:val="-"/>
      <w:lvlJc w:val="left"/>
      <w:pPr>
        <w:ind w:left="54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50E93A5C"/>
    <w:multiLevelType w:val="hybridMultilevel"/>
    <w:tmpl w:val="85D6F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E068D"/>
    <w:multiLevelType w:val="hybridMultilevel"/>
    <w:tmpl w:val="56DE1D94"/>
    <w:lvl w:ilvl="0" w:tplc="FD6CA81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3E6EC3"/>
    <w:multiLevelType w:val="hybridMultilevel"/>
    <w:tmpl w:val="061E13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55FF61A5"/>
    <w:multiLevelType w:val="hybridMultilevel"/>
    <w:tmpl w:val="788C174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56F2515B"/>
    <w:multiLevelType w:val="hybridMultilevel"/>
    <w:tmpl w:val="D94A9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A220B"/>
    <w:multiLevelType w:val="hybridMultilevel"/>
    <w:tmpl w:val="888246F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583230B1"/>
    <w:multiLevelType w:val="hybridMultilevel"/>
    <w:tmpl w:val="789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D5289"/>
    <w:multiLevelType w:val="hybridMultilevel"/>
    <w:tmpl w:val="38A4773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66900076"/>
    <w:multiLevelType w:val="hybridMultilevel"/>
    <w:tmpl w:val="AA249B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6B305631"/>
    <w:multiLevelType w:val="hybridMultilevel"/>
    <w:tmpl w:val="0A64F390"/>
    <w:lvl w:ilvl="0" w:tplc="0409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064706A"/>
    <w:multiLevelType w:val="hybridMultilevel"/>
    <w:tmpl w:val="9390A6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99C5E22">
      <w:start w:val="3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515431"/>
    <w:multiLevelType w:val="hybridMultilevel"/>
    <w:tmpl w:val="4E103B58"/>
    <w:lvl w:ilvl="0" w:tplc="B39CE96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2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21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2"/>
  </w:num>
  <w:num w:numId="17">
    <w:abstractNumId w:val="16"/>
  </w:num>
  <w:num w:numId="18">
    <w:abstractNumId w:val="8"/>
  </w:num>
  <w:num w:numId="19">
    <w:abstractNumId w:val="18"/>
  </w:num>
  <w:num w:numId="20">
    <w:abstractNumId w:val="6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9"/>
  </w:num>
  <w:num w:numId="24">
    <w:abstractNumId w:val="3"/>
  </w:num>
  <w:num w:numId="25">
    <w:abstractNumId w:val="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23"/>
    <w:rsid w:val="00000655"/>
    <w:rsid w:val="0000332E"/>
    <w:rsid w:val="00006B63"/>
    <w:rsid w:val="000129DC"/>
    <w:rsid w:val="00013AB5"/>
    <w:rsid w:val="000158C6"/>
    <w:rsid w:val="0002505E"/>
    <w:rsid w:val="0002655A"/>
    <w:rsid w:val="00026D1F"/>
    <w:rsid w:val="0002732C"/>
    <w:rsid w:val="0003085A"/>
    <w:rsid w:val="00030F99"/>
    <w:rsid w:val="0003317A"/>
    <w:rsid w:val="00036D28"/>
    <w:rsid w:val="00040149"/>
    <w:rsid w:val="00040768"/>
    <w:rsid w:val="00050635"/>
    <w:rsid w:val="000638D7"/>
    <w:rsid w:val="00065D20"/>
    <w:rsid w:val="00067F07"/>
    <w:rsid w:val="00071849"/>
    <w:rsid w:val="00072991"/>
    <w:rsid w:val="0009054A"/>
    <w:rsid w:val="00096544"/>
    <w:rsid w:val="00097667"/>
    <w:rsid w:val="00097EB1"/>
    <w:rsid w:val="000A4E1A"/>
    <w:rsid w:val="000A52D2"/>
    <w:rsid w:val="000A58CD"/>
    <w:rsid w:val="000B0B3B"/>
    <w:rsid w:val="000B0DF9"/>
    <w:rsid w:val="000B290E"/>
    <w:rsid w:val="000B4363"/>
    <w:rsid w:val="000C0537"/>
    <w:rsid w:val="000D236B"/>
    <w:rsid w:val="000D27D4"/>
    <w:rsid w:val="000D538E"/>
    <w:rsid w:val="000E6969"/>
    <w:rsid w:val="000F0438"/>
    <w:rsid w:val="000F0E42"/>
    <w:rsid w:val="000F4F38"/>
    <w:rsid w:val="000F60D5"/>
    <w:rsid w:val="00110A74"/>
    <w:rsid w:val="001115B8"/>
    <w:rsid w:val="00113D3C"/>
    <w:rsid w:val="00115456"/>
    <w:rsid w:val="0011696D"/>
    <w:rsid w:val="00120327"/>
    <w:rsid w:val="001203FD"/>
    <w:rsid w:val="001242A0"/>
    <w:rsid w:val="00124CD1"/>
    <w:rsid w:val="001260F5"/>
    <w:rsid w:val="001275C0"/>
    <w:rsid w:val="00130156"/>
    <w:rsid w:val="001314F0"/>
    <w:rsid w:val="00132EE0"/>
    <w:rsid w:val="0014226D"/>
    <w:rsid w:val="001430D9"/>
    <w:rsid w:val="001470C2"/>
    <w:rsid w:val="00152FE2"/>
    <w:rsid w:val="00153A90"/>
    <w:rsid w:val="001576EA"/>
    <w:rsid w:val="00162A08"/>
    <w:rsid w:val="00167896"/>
    <w:rsid w:val="00170606"/>
    <w:rsid w:val="0017527F"/>
    <w:rsid w:val="001752B7"/>
    <w:rsid w:val="001810E5"/>
    <w:rsid w:val="001919B6"/>
    <w:rsid w:val="00195B1A"/>
    <w:rsid w:val="00197429"/>
    <w:rsid w:val="001A118A"/>
    <w:rsid w:val="001A4F87"/>
    <w:rsid w:val="001A5696"/>
    <w:rsid w:val="001B036D"/>
    <w:rsid w:val="001B14B8"/>
    <w:rsid w:val="001B1F06"/>
    <w:rsid w:val="001B364A"/>
    <w:rsid w:val="001B6B9E"/>
    <w:rsid w:val="001C2582"/>
    <w:rsid w:val="001C45E7"/>
    <w:rsid w:val="001C48DD"/>
    <w:rsid w:val="001C5EEE"/>
    <w:rsid w:val="001D19CE"/>
    <w:rsid w:val="001D4E1A"/>
    <w:rsid w:val="001E1E5D"/>
    <w:rsid w:val="001E2F2D"/>
    <w:rsid w:val="001E4629"/>
    <w:rsid w:val="001E561D"/>
    <w:rsid w:val="001E7347"/>
    <w:rsid w:val="0020168A"/>
    <w:rsid w:val="002060AA"/>
    <w:rsid w:val="002076F8"/>
    <w:rsid w:val="00210C5C"/>
    <w:rsid w:val="00212DFE"/>
    <w:rsid w:val="002143E1"/>
    <w:rsid w:val="002157CA"/>
    <w:rsid w:val="002216DE"/>
    <w:rsid w:val="00224450"/>
    <w:rsid w:val="00231D27"/>
    <w:rsid w:val="002344B6"/>
    <w:rsid w:val="0023623B"/>
    <w:rsid w:val="0023788C"/>
    <w:rsid w:val="00241ADC"/>
    <w:rsid w:val="00244160"/>
    <w:rsid w:val="00246A2E"/>
    <w:rsid w:val="00247AB2"/>
    <w:rsid w:val="00251296"/>
    <w:rsid w:val="00251D33"/>
    <w:rsid w:val="002529EC"/>
    <w:rsid w:val="0025356F"/>
    <w:rsid w:val="0025378D"/>
    <w:rsid w:val="00255692"/>
    <w:rsid w:val="00260076"/>
    <w:rsid w:val="00260B34"/>
    <w:rsid w:val="00271A9C"/>
    <w:rsid w:val="0027208A"/>
    <w:rsid w:val="00277E00"/>
    <w:rsid w:val="00280A39"/>
    <w:rsid w:val="00284CC1"/>
    <w:rsid w:val="00285D31"/>
    <w:rsid w:val="002869BC"/>
    <w:rsid w:val="002901BC"/>
    <w:rsid w:val="0029562D"/>
    <w:rsid w:val="002A45B7"/>
    <w:rsid w:val="002A4D8C"/>
    <w:rsid w:val="002C2AB3"/>
    <w:rsid w:val="002C49CD"/>
    <w:rsid w:val="002C6A3F"/>
    <w:rsid w:val="002D251C"/>
    <w:rsid w:val="002D2A3A"/>
    <w:rsid w:val="002D3CA7"/>
    <w:rsid w:val="002E4B90"/>
    <w:rsid w:val="002F0507"/>
    <w:rsid w:val="002F42FE"/>
    <w:rsid w:val="002F5897"/>
    <w:rsid w:val="002F6696"/>
    <w:rsid w:val="00311421"/>
    <w:rsid w:val="0031238E"/>
    <w:rsid w:val="00327286"/>
    <w:rsid w:val="00327B13"/>
    <w:rsid w:val="00333E31"/>
    <w:rsid w:val="00333FDC"/>
    <w:rsid w:val="0033416E"/>
    <w:rsid w:val="00335EC2"/>
    <w:rsid w:val="00337AC2"/>
    <w:rsid w:val="0034265E"/>
    <w:rsid w:val="0034505C"/>
    <w:rsid w:val="0034514C"/>
    <w:rsid w:val="0034571B"/>
    <w:rsid w:val="00345995"/>
    <w:rsid w:val="00352A8D"/>
    <w:rsid w:val="00354B93"/>
    <w:rsid w:val="003558EC"/>
    <w:rsid w:val="00356075"/>
    <w:rsid w:val="00360653"/>
    <w:rsid w:val="003706C5"/>
    <w:rsid w:val="00371C73"/>
    <w:rsid w:val="003725F7"/>
    <w:rsid w:val="00372987"/>
    <w:rsid w:val="0037317C"/>
    <w:rsid w:val="0037358B"/>
    <w:rsid w:val="00375E78"/>
    <w:rsid w:val="0037681C"/>
    <w:rsid w:val="00376FFA"/>
    <w:rsid w:val="00380597"/>
    <w:rsid w:val="0038539E"/>
    <w:rsid w:val="0038667B"/>
    <w:rsid w:val="00394558"/>
    <w:rsid w:val="00394E01"/>
    <w:rsid w:val="003959FB"/>
    <w:rsid w:val="003A03D5"/>
    <w:rsid w:val="003A2FBD"/>
    <w:rsid w:val="003A3C7F"/>
    <w:rsid w:val="003A5D3B"/>
    <w:rsid w:val="003A6D91"/>
    <w:rsid w:val="003B2081"/>
    <w:rsid w:val="003B4BE1"/>
    <w:rsid w:val="003B6BC7"/>
    <w:rsid w:val="003C1D16"/>
    <w:rsid w:val="003C5017"/>
    <w:rsid w:val="003C6E3A"/>
    <w:rsid w:val="003D4320"/>
    <w:rsid w:val="003D536F"/>
    <w:rsid w:val="003E10B0"/>
    <w:rsid w:val="003F2238"/>
    <w:rsid w:val="003F641E"/>
    <w:rsid w:val="00402704"/>
    <w:rsid w:val="00402918"/>
    <w:rsid w:val="00403158"/>
    <w:rsid w:val="004037A8"/>
    <w:rsid w:val="00405BE7"/>
    <w:rsid w:val="00410715"/>
    <w:rsid w:val="00412BAD"/>
    <w:rsid w:val="004154E2"/>
    <w:rsid w:val="004170EC"/>
    <w:rsid w:val="0041768D"/>
    <w:rsid w:val="00420B9D"/>
    <w:rsid w:val="00425E3E"/>
    <w:rsid w:val="00430584"/>
    <w:rsid w:val="0043136C"/>
    <w:rsid w:val="00440382"/>
    <w:rsid w:val="00441E8B"/>
    <w:rsid w:val="00445D26"/>
    <w:rsid w:val="00447592"/>
    <w:rsid w:val="00457A70"/>
    <w:rsid w:val="00461127"/>
    <w:rsid w:val="004661C5"/>
    <w:rsid w:val="00466EC5"/>
    <w:rsid w:val="00470901"/>
    <w:rsid w:val="00474B97"/>
    <w:rsid w:val="00475396"/>
    <w:rsid w:val="00476BF7"/>
    <w:rsid w:val="00477418"/>
    <w:rsid w:val="004828EF"/>
    <w:rsid w:val="00485DCF"/>
    <w:rsid w:val="00490568"/>
    <w:rsid w:val="004A17C9"/>
    <w:rsid w:val="004A3A57"/>
    <w:rsid w:val="004A5DEB"/>
    <w:rsid w:val="004B2F28"/>
    <w:rsid w:val="004B5764"/>
    <w:rsid w:val="004B76E6"/>
    <w:rsid w:val="004C714F"/>
    <w:rsid w:val="004D2BA6"/>
    <w:rsid w:val="004D4089"/>
    <w:rsid w:val="004D4E60"/>
    <w:rsid w:val="004E04C6"/>
    <w:rsid w:val="004E2E8E"/>
    <w:rsid w:val="004E5A7D"/>
    <w:rsid w:val="004E689A"/>
    <w:rsid w:val="004E6973"/>
    <w:rsid w:val="004E75C6"/>
    <w:rsid w:val="004F090D"/>
    <w:rsid w:val="004F6209"/>
    <w:rsid w:val="005021D3"/>
    <w:rsid w:val="00502C5F"/>
    <w:rsid w:val="00512586"/>
    <w:rsid w:val="00514A8E"/>
    <w:rsid w:val="00523768"/>
    <w:rsid w:val="00524902"/>
    <w:rsid w:val="00525FC7"/>
    <w:rsid w:val="00526722"/>
    <w:rsid w:val="00527ECE"/>
    <w:rsid w:val="00530292"/>
    <w:rsid w:val="005364CB"/>
    <w:rsid w:val="00537ACC"/>
    <w:rsid w:val="0054107D"/>
    <w:rsid w:val="0054450B"/>
    <w:rsid w:val="00550D54"/>
    <w:rsid w:val="00551CD8"/>
    <w:rsid w:val="005537C7"/>
    <w:rsid w:val="0055426E"/>
    <w:rsid w:val="005639D7"/>
    <w:rsid w:val="005651C5"/>
    <w:rsid w:val="005662D7"/>
    <w:rsid w:val="00570362"/>
    <w:rsid w:val="00571ED4"/>
    <w:rsid w:val="0057505A"/>
    <w:rsid w:val="00575759"/>
    <w:rsid w:val="00580E5F"/>
    <w:rsid w:val="00580FEF"/>
    <w:rsid w:val="00582BF4"/>
    <w:rsid w:val="00584DAE"/>
    <w:rsid w:val="005906B5"/>
    <w:rsid w:val="00590E72"/>
    <w:rsid w:val="00590FE4"/>
    <w:rsid w:val="00593949"/>
    <w:rsid w:val="00594ECC"/>
    <w:rsid w:val="005A0AB9"/>
    <w:rsid w:val="005A218A"/>
    <w:rsid w:val="005A564D"/>
    <w:rsid w:val="005A7E37"/>
    <w:rsid w:val="005B112E"/>
    <w:rsid w:val="005B3DCC"/>
    <w:rsid w:val="005B4621"/>
    <w:rsid w:val="005B4C3B"/>
    <w:rsid w:val="005B4D40"/>
    <w:rsid w:val="005C0860"/>
    <w:rsid w:val="005C532B"/>
    <w:rsid w:val="005C6523"/>
    <w:rsid w:val="005D74F2"/>
    <w:rsid w:val="005D77BF"/>
    <w:rsid w:val="005E2723"/>
    <w:rsid w:val="005E426C"/>
    <w:rsid w:val="005E62F1"/>
    <w:rsid w:val="005E6335"/>
    <w:rsid w:val="005E66C9"/>
    <w:rsid w:val="005E6CC2"/>
    <w:rsid w:val="005F2591"/>
    <w:rsid w:val="005F40AD"/>
    <w:rsid w:val="005F46E8"/>
    <w:rsid w:val="005F4FA6"/>
    <w:rsid w:val="005F55F1"/>
    <w:rsid w:val="005F6406"/>
    <w:rsid w:val="005F7DC1"/>
    <w:rsid w:val="00600339"/>
    <w:rsid w:val="0060151A"/>
    <w:rsid w:val="00610A1B"/>
    <w:rsid w:val="00612211"/>
    <w:rsid w:val="00612EFF"/>
    <w:rsid w:val="00614A73"/>
    <w:rsid w:val="00620B4B"/>
    <w:rsid w:val="00621CCE"/>
    <w:rsid w:val="006220B2"/>
    <w:rsid w:val="00622AF9"/>
    <w:rsid w:val="0063065D"/>
    <w:rsid w:val="0063239D"/>
    <w:rsid w:val="00632D27"/>
    <w:rsid w:val="0063359C"/>
    <w:rsid w:val="006353E6"/>
    <w:rsid w:val="00640FDE"/>
    <w:rsid w:val="00662EEF"/>
    <w:rsid w:val="00665601"/>
    <w:rsid w:val="00666E14"/>
    <w:rsid w:val="00667B03"/>
    <w:rsid w:val="00675725"/>
    <w:rsid w:val="0067768F"/>
    <w:rsid w:val="00683E8A"/>
    <w:rsid w:val="00685E2C"/>
    <w:rsid w:val="0068694A"/>
    <w:rsid w:val="0069479B"/>
    <w:rsid w:val="00695A95"/>
    <w:rsid w:val="0069742A"/>
    <w:rsid w:val="006A3925"/>
    <w:rsid w:val="006A43C2"/>
    <w:rsid w:val="006B0E66"/>
    <w:rsid w:val="006B1EF8"/>
    <w:rsid w:val="006B5D6B"/>
    <w:rsid w:val="006C0EB3"/>
    <w:rsid w:val="006C6F38"/>
    <w:rsid w:val="006C749C"/>
    <w:rsid w:val="006D47C6"/>
    <w:rsid w:val="006D4FF7"/>
    <w:rsid w:val="006D67DE"/>
    <w:rsid w:val="006E059E"/>
    <w:rsid w:val="006E3B5D"/>
    <w:rsid w:val="006E5188"/>
    <w:rsid w:val="006E5EB3"/>
    <w:rsid w:val="006E6D2E"/>
    <w:rsid w:val="006F222A"/>
    <w:rsid w:val="006F3330"/>
    <w:rsid w:val="00700E35"/>
    <w:rsid w:val="00701CF3"/>
    <w:rsid w:val="00706062"/>
    <w:rsid w:val="00706BE9"/>
    <w:rsid w:val="007322E1"/>
    <w:rsid w:val="007322E3"/>
    <w:rsid w:val="007339B7"/>
    <w:rsid w:val="00734AC9"/>
    <w:rsid w:val="00736048"/>
    <w:rsid w:val="00740994"/>
    <w:rsid w:val="007448BC"/>
    <w:rsid w:val="00752894"/>
    <w:rsid w:val="007535A4"/>
    <w:rsid w:val="00753881"/>
    <w:rsid w:val="0076225E"/>
    <w:rsid w:val="0076683F"/>
    <w:rsid w:val="007704CC"/>
    <w:rsid w:val="007726F4"/>
    <w:rsid w:val="007770D6"/>
    <w:rsid w:val="00783E74"/>
    <w:rsid w:val="0079028E"/>
    <w:rsid w:val="00790989"/>
    <w:rsid w:val="00790D46"/>
    <w:rsid w:val="00792870"/>
    <w:rsid w:val="007942AE"/>
    <w:rsid w:val="00795A80"/>
    <w:rsid w:val="00796F11"/>
    <w:rsid w:val="007A4275"/>
    <w:rsid w:val="007A57D0"/>
    <w:rsid w:val="007A669C"/>
    <w:rsid w:val="007B1CE4"/>
    <w:rsid w:val="007B51C8"/>
    <w:rsid w:val="007B5F12"/>
    <w:rsid w:val="007C1FAB"/>
    <w:rsid w:val="007E1843"/>
    <w:rsid w:val="007E446E"/>
    <w:rsid w:val="007F05A0"/>
    <w:rsid w:val="007F3F3A"/>
    <w:rsid w:val="007F4259"/>
    <w:rsid w:val="00805851"/>
    <w:rsid w:val="0081548F"/>
    <w:rsid w:val="00816E4D"/>
    <w:rsid w:val="008223C6"/>
    <w:rsid w:val="00824028"/>
    <w:rsid w:val="00827AE2"/>
    <w:rsid w:val="00827B09"/>
    <w:rsid w:val="008321C2"/>
    <w:rsid w:val="00834BF0"/>
    <w:rsid w:val="008353EA"/>
    <w:rsid w:val="008439EC"/>
    <w:rsid w:val="00843B6A"/>
    <w:rsid w:val="00845007"/>
    <w:rsid w:val="00847DFB"/>
    <w:rsid w:val="00853198"/>
    <w:rsid w:val="00853EEC"/>
    <w:rsid w:val="00857DFA"/>
    <w:rsid w:val="00864177"/>
    <w:rsid w:val="008667D6"/>
    <w:rsid w:val="008676CA"/>
    <w:rsid w:val="008706BE"/>
    <w:rsid w:val="008725B0"/>
    <w:rsid w:val="0087385A"/>
    <w:rsid w:val="00876B79"/>
    <w:rsid w:val="00880B0B"/>
    <w:rsid w:val="00885DE9"/>
    <w:rsid w:val="00890C0A"/>
    <w:rsid w:val="00890D18"/>
    <w:rsid w:val="00892855"/>
    <w:rsid w:val="008944C9"/>
    <w:rsid w:val="00896927"/>
    <w:rsid w:val="008A200A"/>
    <w:rsid w:val="008A24CD"/>
    <w:rsid w:val="008A55A8"/>
    <w:rsid w:val="008B18D0"/>
    <w:rsid w:val="008B7EE4"/>
    <w:rsid w:val="008C15AC"/>
    <w:rsid w:val="008C3876"/>
    <w:rsid w:val="008C4A65"/>
    <w:rsid w:val="008C7ABC"/>
    <w:rsid w:val="008C7D0E"/>
    <w:rsid w:val="008D0D87"/>
    <w:rsid w:val="008D310E"/>
    <w:rsid w:val="008D3972"/>
    <w:rsid w:val="008D3ECF"/>
    <w:rsid w:val="008E1145"/>
    <w:rsid w:val="008F0614"/>
    <w:rsid w:val="00914024"/>
    <w:rsid w:val="009172D5"/>
    <w:rsid w:val="00917FA9"/>
    <w:rsid w:val="009219ED"/>
    <w:rsid w:val="0092252B"/>
    <w:rsid w:val="009234DE"/>
    <w:rsid w:val="00923BA5"/>
    <w:rsid w:val="009256E2"/>
    <w:rsid w:val="009277DF"/>
    <w:rsid w:val="00927875"/>
    <w:rsid w:val="00940918"/>
    <w:rsid w:val="00944FD6"/>
    <w:rsid w:val="00946402"/>
    <w:rsid w:val="0095044E"/>
    <w:rsid w:val="00953AC3"/>
    <w:rsid w:val="00963503"/>
    <w:rsid w:val="00964673"/>
    <w:rsid w:val="00971813"/>
    <w:rsid w:val="009735AD"/>
    <w:rsid w:val="00981CB6"/>
    <w:rsid w:val="00983774"/>
    <w:rsid w:val="009910DC"/>
    <w:rsid w:val="00994156"/>
    <w:rsid w:val="00997F39"/>
    <w:rsid w:val="009A520D"/>
    <w:rsid w:val="009A7516"/>
    <w:rsid w:val="009B0261"/>
    <w:rsid w:val="009B4D74"/>
    <w:rsid w:val="009B5126"/>
    <w:rsid w:val="009B5D6A"/>
    <w:rsid w:val="009C2A9A"/>
    <w:rsid w:val="009C3871"/>
    <w:rsid w:val="009C7D5A"/>
    <w:rsid w:val="009D7EB6"/>
    <w:rsid w:val="009E153F"/>
    <w:rsid w:val="009E3F07"/>
    <w:rsid w:val="009E53A6"/>
    <w:rsid w:val="00A0374D"/>
    <w:rsid w:val="00A1261B"/>
    <w:rsid w:val="00A21478"/>
    <w:rsid w:val="00A2283D"/>
    <w:rsid w:val="00A24940"/>
    <w:rsid w:val="00A25BC3"/>
    <w:rsid w:val="00A25CA6"/>
    <w:rsid w:val="00A326FF"/>
    <w:rsid w:val="00A36B4C"/>
    <w:rsid w:val="00A36F1E"/>
    <w:rsid w:val="00A41252"/>
    <w:rsid w:val="00A41A98"/>
    <w:rsid w:val="00A44330"/>
    <w:rsid w:val="00A46308"/>
    <w:rsid w:val="00A5028E"/>
    <w:rsid w:val="00A51341"/>
    <w:rsid w:val="00A517FE"/>
    <w:rsid w:val="00A55C6A"/>
    <w:rsid w:val="00A60F7E"/>
    <w:rsid w:val="00A612DB"/>
    <w:rsid w:val="00A64BFA"/>
    <w:rsid w:val="00A66E94"/>
    <w:rsid w:val="00A67343"/>
    <w:rsid w:val="00A73902"/>
    <w:rsid w:val="00A73FEA"/>
    <w:rsid w:val="00A749BC"/>
    <w:rsid w:val="00A818E8"/>
    <w:rsid w:val="00A85FAA"/>
    <w:rsid w:val="00A9197A"/>
    <w:rsid w:val="00A92948"/>
    <w:rsid w:val="00A92AE4"/>
    <w:rsid w:val="00A94ED6"/>
    <w:rsid w:val="00A978D7"/>
    <w:rsid w:val="00AA2CE8"/>
    <w:rsid w:val="00AB357B"/>
    <w:rsid w:val="00AB6224"/>
    <w:rsid w:val="00AB6965"/>
    <w:rsid w:val="00AC58D7"/>
    <w:rsid w:val="00AC7698"/>
    <w:rsid w:val="00AC7B30"/>
    <w:rsid w:val="00AD0FBB"/>
    <w:rsid w:val="00AD14AB"/>
    <w:rsid w:val="00AD2903"/>
    <w:rsid w:val="00AD4382"/>
    <w:rsid w:val="00AE09E8"/>
    <w:rsid w:val="00AE4D0B"/>
    <w:rsid w:val="00AE5957"/>
    <w:rsid w:val="00AF20C2"/>
    <w:rsid w:val="00AF21C8"/>
    <w:rsid w:val="00AF65CA"/>
    <w:rsid w:val="00AF6B53"/>
    <w:rsid w:val="00B0022C"/>
    <w:rsid w:val="00B14CB6"/>
    <w:rsid w:val="00B16912"/>
    <w:rsid w:val="00B16DEF"/>
    <w:rsid w:val="00B212AC"/>
    <w:rsid w:val="00B3249D"/>
    <w:rsid w:val="00B352C5"/>
    <w:rsid w:val="00B3627B"/>
    <w:rsid w:val="00B457F1"/>
    <w:rsid w:val="00B47B24"/>
    <w:rsid w:val="00B52BDF"/>
    <w:rsid w:val="00B567CD"/>
    <w:rsid w:val="00B65663"/>
    <w:rsid w:val="00B74E84"/>
    <w:rsid w:val="00B8312E"/>
    <w:rsid w:val="00B87072"/>
    <w:rsid w:val="00B91359"/>
    <w:rsid w:val="00B96C08"/>
    <w:rsid w:val="00BA069B"/>
    <w:rsid w:val="00BA29F1"/>
    <w:rsid w:val="00BA5BE7"/>
    <w:rsid w:val="00BB3CC5"/>
    <w:rsid w:val="00BB4C1F"/>
    <w:rsid w:val="00BC62DE"/>
    <w:rsid w:val="00BD48E3"/>
    <w:rsid w:val="00BD4B9B"/>
    <w:rsid w:val="00BE110E"/>
    <w:rsid w:val="00BE3168"/>
    <w:rsid w:val="00BE4131"/>
    <w:rsid w:val="00BE6D44"/>
    <w:rsid w:val="00BF40C1"/>
    <w:rsid w:val="00C00424"/>
    <w:rsid w:val="00C0203E"/>
    <w:rsid w:val="00C02B20"/>
    <w:rsid w:val="00C0417F"/>
    <w:rsid w:val="00C1206C"/>
    <w:rsid w:val="00C1377F"/>
    <w:rsid w:val="00C17171"/>
    <w:rsid w:val="00C24300"/>
    <w:rsid w:val="00C25B09"/>
    <w:rsid w:val="00C3032C"/>
    <w:rsid w:val="00C339B8"/>
    <w:rsid w:val="00C4599D"/>
    <w:rsid w:val="00C463A0"/>
    <w:rsid w:val="00C46EC0"/>
    <w:rsid w:val="00C538B5"/>
    <w:rsid w:val="00C56819"/>
    <w:rsid w:val="00C70CAA"/>
    <w:rsid w:val="00C7700A"/>
    <w:rsid w:val="00C8416B"/>
    <w:rsid w:val="00C8424B"/>
    <w:rsid w:val="00C855DA"/>
    <w:rsid w:val="00C85A3A"/>
    <w:rsid w:val="00C86649"/>
    <w:rsid w:val="00C924EF"/>
    <w:rsid w:val="00C943B1"/>
    <w:rsid w:val="00C96676"/>
    <w:rsid w:val="00CA09B7"/>
    <w:rsid w:val="00CA36A9"/>
    <w:rsid w:val="00CA43E4"/>
    <w:rsid w:val="00CD3200"/>
    <w:rsid w:val="00CD7A7D"/>
    <w:rsid w:val="00CE3270"/>
    <w:rsid w:val="00CE4120"/>
    <w:rsid w:val="00CF1DCB"/>
    <w:rsid w:val="00CF2234"/>
    <w:rsid w:val="00CF3800"/>
    <w:rsid w:val="00CF3900"/>
    <w:rsid w:val="00CF5CCB"/>
    <w:rsid w:val="00CF5D8B"/>
    <w:rsid w:val="00D04974"/>
    <w:rsid w:val="00D0714E"/>
    <w:rsid w:val="00D072AC"/>
    <w:rsid w:val="00D14D0E"/>
    <w:rsid w:val="00D176EC"/>
    <w:rsid w:val="00D17A88"/>
    <w:rsid w:val="00D21134"/>
    <w:rsid w:val="00D31181"/>
    <w:rsid w:val="00D318CC"/>
    <w:rsid w:val="00D423BF"/>
    <w:rsid w:val="00D4679D"/>
    <w:rsid w:val="00D53A59"/>
    <w:rsid w:val="00D60E2E"/>
    <w:rsid w:val="00D6179C"/>
    <w:rsid w:val="00D618F5"/>
    <w:rsid w:val="00D64A36"/>
    <w:rsid w:val="00D64D37"/>
    <w:rsid w:val="00D71045"/>
    <w:rsid w:val="00D732BB"/>
    <w:rsid w:val="00D801B2"/>
    <w:rsid w:val="00D8028F"/>
    <w:rsid w:val="00D82D23"/>
    <w:rsid w:val="00D85432"/>
    <w:rsid w:val="00D92FAD"/>
    <w:rsid w:val="00D9386C"/>
    <w:rsid w:val="00D947D2"/>
    <w:rsid w:val="00DA13D0"/>
    <w:rsid w:val="00DA19D4"/>
    <w:rsid w:val="00DA714B"/>
    <w:rsid w:val="00DB0A63"/>
    <w:rsid w:val="00DB255F"/>
    <w:rsid w:val="00DC2FB5"/>
    <w:rsid w:val="00DC35AB"/>
    <w:rsid w:val="00DC4EAE"/>
    <w:rsid w:val="00DC771A"/>
    <w:rsid w:val="00DD1F19"/>
    <w:rsid w:val="00DD6218"/>
    <w:rsid w:val="00DE4071"/>
    <w:rsid w:val="00DE4C9F"/>
    <w:rsid w:val="00DE5CF4"/>
    <w:rsid w:val="00DE6B38"/>
    <w:rsid w:val="00DF07B3"/>
    <w:rsid w:val="00DF27D3"/>
    <w:rsid w:val="00DF3C8D"/>
    <w:rsid w:val="00DF46F0"/>
    <w:rsid w:val="00E00679"/>
    <w:rsid w:val="00E01179"/>
    <w:rsid w:val="00E014D5"/>
    <w:rsid w:val="00E07683"/>
    <w:rsid w:val="00E12A87"/>
    <w:rsid w:val="00E15E05"/>
    <w:rsid w:val="00E15E43"/>
    <w:rsid w:val="00E162A9"/>
    <w:rsid w:val="00E16D26"/>
    <w:rsid w:val="00E26C1E"/>
    <w:rsid w:val="00E30F6D"/>
    <w:rsid w:val="00E34AC4"/>
    <w:rsid w:val="00E37C0A"/>
    <w:rsid w:val="00E43B03"/>
    <w:rsid w:val="00E446F4"/>
    <w:rsid w:val="00E4516A"/>
    <w:rsid w:val="00E4641A"/>
    <w:rsid w:val="00E52420"/>
    <w:rsid w:val="00E55262"/>
    <w:rsid w:val="00E61007"/>
    <w:rsid w:val="00E64B2B"/>
    <w:rsid w:val="00E659EC"/>
    <w:rsid w:val="00E72BFE"/>
    <w:rsid w:val="00E80912"/>
    <w:rsid w:val="00E856E7"/>
    <w:rsid w:val="00E86654"/>
    <w:rsid w:val="00E92E73"/>
    <w:rsid w:val="00E95A36"/>
    <w:rsid w:val="00EA2223"/>
    <w:rsid w:val="00EA6DD3"/>
    <w:rsid w:val="00EB37FF"/>
    <w:rsid w:val="00EB56B7"/>
    <w:rsid w:val="00EB58EC"/>
    <w:rsid w:val="00EC2B3F"/>
    <w:rsid w:val="00EC5D33"/>
    <w:rsid w:val="00ED113F"/>
    <w:rsid w:val="00ED336A"/>
    <w:rsid w:val="00EE1099"/>
    <w:rsid w:val="00EE5EDB"/>
    <w:rsid w:val="00EF1222"/>
    <w:rsid w:val="00EF1546"/>
    <w:rsid w:val="00EF48DB"/>
    <w:rsid w:val="00F146AA"/>
    <w:rsid w:val="00F224F8"/>
    <w:rsid w:val="00F23DAE"/>
    <w:rsid w:val="00F24942"/>
    <w:rsid w:val="00F256E3"/>
    <w:rsid w:val="00F265DC"/>
    <w:rsid w:val="00F32800"/>
    <w:rsid w:val="00F34FE2"/>
    <w:rsid w:val="00F3583E"/>
    <w:rsid w:val="00F37CB7"/>
    <w:rsid w:val="00F415AB"/>
    <w:rsid w:val="00F41A9B"/>
    <w:rsid w:val="00F4274E"/>
    <w:rsid w:val="00F43371"/>
    <w:rsid w:val="00F44E81"/>
    <w:rsid w:val="00F471D0"/>
    <w:rsid w:val="00F53BCB"/>
    <w:rsid w:val="00F545BB"/>
    <w:rsid w:val="00F61213"/>
    <w:rsid w:val="00F62BCA"/>
    <w:rsid w:val="00F63D20"/>
    <w:rsid w:val="00F65564"/>
    <w:rsid w:val="00F657C2"/>
    <w:rsid w:val="00F65DEC"/>
    <w:rsid w:val="00F66DE5"/>
    <w:rsid w:val="00F7253A"/>
    <w:rsid w:val="00F77715"/>
    <w:rsid w:val="00F9196D"/>
    <w:rsid w:val="00F93BAA"/>
    <w:rsid w:val="00F93BEC"/>
    <w:rsid w:val="00FA0D75"/>
    <w:rsid w:val="00FB45C5"/>
    <w:rsid w:val="00FB7593"/>
    <w:rsid w:val="00FC2527"/>
    <w:rsid w:val="00FC2EF3"/>
    <w:rsid w:val="00FC31D4"/>
    <w:rsid w:val="00FD03E8"/>
    <w:rsid w:val="00FD16A0"/>
    <w:rsid w:val="00FD4C23"/>
    <w:rsid w:val="00FD69A3"/>
    <w:rsid w:val="00FD721F"/>
    <w:rsid w:val="00FE1A8B"/>
    <w:rsid w:val="00FE1B4C"/>
    <w:rsid w:val="00FE7D5C"/>
    <w:rsid w:val="00FF360C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locked="1"/>
    <w:lsdException w:name="header" w:locked="1"/>
    <w:lsdException w:name="footer" w:locked="1"/>
    <w:lsdException w:name="caption" w:locked="1" w:semiHidden="1" w:unhideWhenUsed="1" w:qFormat="1"/>
    <w:lsdException w:name="annotation reference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359"/>
    <w:pPr>
      <w:widowControl w:val="0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91359"/>
  </w:style>
  <w:style w:type="paragraph" w:styleId="BodyTextIndent">
    <w:name w:val="Body Text Indent"/>
    <w:basedOn w:val="Normal"/>
    <w:rsid w:val="00B91359"/>
    <w:pPr>
      <w:tabs>
        <w:tab w:val="left" w:pos="-388"/>
        <w:tab w:val="left" w:pos="0"/>
        <w:tab w:val="left" w:pos="450"/>
      </w:tabs>
      <w:ind w:left="1440" w:hanging="1440"/>
    </w:pPr>
    <w:rPr>
      <w:sz w:val="20"/>
    </w:rPr>
  </w:style>
  <w:style w:type="character" w:styleId="Hyperlink">
    <w:name w:val="Hyperlink"/>
    <w:basedOn w:val="DefaultParagraphFont"/>
    <w:rsid w:val="007F3F3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semiHidden/>
    <w:rsid w:val="004A5DE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A5DEB"/>
    <w:rPr>
      <w:sz w:val="20"/>
    </w:rPr>
  </w:style>
  <w:style w:type="character" w:customStyle="1" w:styleId="CommentTextChar">
    <w:name w:val="Comment Text Char"/>
    <w:basedOn w:val="DefaultParagraphFont"/>
    <w:link w:val="CommentText"/>
    <w:locked/>
    <w:rsid w:val="004A5DEB"/>
    <w:rPr>
      <w:rFonts w:ascii="Arial" w:hAnsi="Arial" w:cs="Times New Roman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A5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4A5DEB"/>
    <w:rPr>
      <w:rFonts w:ascii="Arial" w:hAnsi="Arial" w:cs="Times New Roman"/>
      <w:b/>
      <w:bCs/>
      <w:snapToGrid w:val="0"/>
    </w:rPr>
  </w:style>
  <w:style w:type="paragraph" w:styleId="BalloonText">
    <w:name w:val="Balloon Text"/>
    <w:basedOn w:val="Normal"/>
    <w:link w:val="BalloonTextChar"/>
    <w:semiHidden/>
    <w:rsid w:val="004A5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4A5DE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0E5"/>
    <w:pPr>
      <w:ind w:left="720"/>
    </w:pPr>
  </w:style>
  <w:style w:type="paragraph" w:styleId="Header">
    <w:name w:val="header"/>
    <w:basedOn w:val="Normal"/>
    <w:link w:val="HeaderChar"/>
    <w:rsid w:val="00E006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sid w:val="00E00679"/>
    <w:rPr>
      <w:rFonts w:ascii="Arial" w:hAnsi="Arial" w:cs="Times New Roman"/>
      <w:snapToGrid w:val="0"/>
      <w:sz w:val="22"/>
    </w:rPr>
  </w:style>
  <w:style w:type="paragraph" w:styleId="Footer">
    <w:name w:val="footer"/>
    <w:basedOn w:val="Normal"/>
    <w:link w:val="FooterChar"/>
    <w:rsid w:val="00E00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E00679"/>
    <w:rPr>
      <w:rFonts w:ascii="Arial" w:hAnsi="Arial" w:cs="Times New Roman"/>
      <w:snapToGrid w:val="0"/>
      <w:sz w:val="22"/>
    </w:rPr>
  </w:style>
  <w:style w:type="paragraph" w:styleId="PlainText">
    <w:name w:val="Plain Text"/>
    <w:basedOn w:val="Normal"/>
    <w:link w:val="PlainTextChar"/>
    <w:uiPriority w:val="99"/>
    <w:rsid w:val="00F34FE2"/>
    <w:pPr>
      <w:widowControl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34FE2"/>
    <w:rPr>
      <w:rFonts w:ascii="Consolas" w:eastAsia="Times New Roman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827AE2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40918"/>
  </w:style>
  <w:style w:type="character" w:customStyle="1" w:styleId="p2name">
    <w:name w:val="p2_name"/>
    <w:basedOn w:val="DefaultParagraphFont"/>
    <w:rsid w:val="00DE4C9F"/>
  </w:style>
  <w:style w:type="character" w:styleId="FollowedHyperlink">
    <w:name w:val="FollowedHyperlink"/>
    <w:basedOn w:val="DefaultParagraphFont"/>
    <w:rsid w:val="00375E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locked="1"/>
    <w:lsdException w:name="header" w:locked="1"/>
    <w:lsdException w:name="footer" w:locked="1"/>
    <w:lsdException w:name="caption" w:locked="1" w:semiHidden="1" w:unhideWhenUsed="1" w:qFormat="1"/>
    <w:lsdException w:name="annotation reference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359"/>
    <w:pPr>
      <w:widowControl w:val="0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91359"/>
  </w:style>
  <w:style w:type="paragraph" w:styleId="BodyTextIndent">
    <w:name w:val="Body Text Indent"/>
    <w:basedOn w:val="Normal"/>
    <w:rsid w:val="00B91359"/>
    <w:pPr>
      <w:tabs>
        <w:tab w:val="left" w:pos="-388"/>
        <w:tab w:val="left" w:pos="0"/>
        <w:tab w:val="left" w:pos="450"/>
      </w:tabs>
      <w:ind w:left="1440" w:hanging="1440"/>
    </w:pPr>
    <w:rPr>
      <w:sz w:val="20"/>
    </w:rPr>
  </w:style>
  <w:style w:type="character" w:styleId="Hyperlink">
    <w:name w:val="Hyperlink"/>
    <w:basedOn w:val="DefaultParagraphFont"/>
    <w:rsid w:val="007F3F3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semiHidden/>
    <w:rsid w:val="004A5DE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A5DEB"/>
    <w:rPr>
      <w:sz w:val="20"/>
    </w:rPr>
  </w:style>
  <w:style w:type="character" w:customStyle="1" w:styleId="CommentTextChar">
    <w:name w:val="Comment Text Char"/>
    <w:basedOn w:val="DefaultParagraphFont"/>
    <w:link w:val="CommentText"/>
    <w:locked/>
    <w:rsid w:val="004A5DEB"/>
    <w:rPr>
      <w:rFonts w:ascii="Arial" w:hAnsi="Arial" w:cs="Times New Roman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A5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4A5DEB"/>
    <w:rPr>
      <w:rFonts w:ascii="Arial" w:hAnsi="Arial" w:cs="Times New Roman"/>
      <w:b/>
      <w:bCs/>
      <w:snapToGrid w:val="0"/>
    </w:rPr>
  </w:style>
  <w:style w:type="paragraph" w:styleId="BalloonText">
    <w:name w:val="Balloon Text"/>
    <w:basedOn w:val="Normal"/>
    <w:link w:val="BalloonTextChar"/>
    <w:semiHidden/>
    <w:rsid w:val="004A5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4A5DE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0E5"/>
    <w:pPr>
      <w:ind w:left="720"/>
    </w:pPr>
  </w:style>
  <w:style w:type="paragraph" w:styleId="Header">
    <w:name w:val="header"/>
    <w:basedOn w:val="Normal"/>
    <w:link w:val="HeaderChar"/>
    <w:rsid w:val="00E006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sid w:val="00E00679"/>
    <w:rPr>
      <w:rFonts w:ascii="Arial" w:hAnsi="Arial" w:cs="Times New Roman"/>
      <w:snapToGrid w:val="0"/>
      <w:sz w:val="22"/>
    </w:rPr>
  </w:style>
  <w:style w:type="paragraph" w:styleId="Footer">
    <w:name w:val="footer"/>
    <w:basedOn w:val="Normal"/>
    <w:link w:val="FooterChar"/>
    <w:rsid w:val="00E00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E00679"/>
    <w:rPr>
      <w:rFonts w:ascii="Arial" w:hAnsi="Arial" w:cs="Times New Roman"/>
      <w:snapToGrid w:val="0"/>
      <w:sz w:val="22"/>
    </w:rPr>
  </w:style>
  <w:style w:type="paragraph" w:styleId="PlainText">
    <w:name w:val="Plain Text"/>
    <w:basedOn w:val="Normal"/>
    <w:link w:val="PlainTextChar"/>
    <w:uiPriority w:val="99"/>
    <w:rsid w:val="00F34FE2"/>
    <w:pPr>
      <w:widowControl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34FE2"/>
    <w:rPr>
      <w:rFonts w:ascii="Consolas" w:eastAsia="Times New Roman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827AE2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40918"/>
  </w:style>
  <w:style w:type="character" w:customStyle="1" w:styleId="p2name">
    <w:name w:val="p2_name"/>
    <w:basedOn w:val="DefaultParagraphFont"/>
    <w:rsid w:val="00DE4C9F"/>
  </w:style>
  <w:style w:type="character" w:styleId="FollowedHyperlink">
    <w:name w:val="FollowedHyperlink"/>
    <w:basedOn w:val="DefaultParagraphFont"/>
    <w:rsid w:val="00375E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74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8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2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743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27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431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3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3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44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1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48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p.org/menu/PracticePolicy/PolicyPositionsGuidelinesBestPractices/BrowsebyDocumentType/EndorsedDocuments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STJUDE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IT Support Services</dc:creator>
  <cp:lastModifiedBy>Kelly Caudle</cp:lastModifiedBy>
  <cp:revision>6</cp:revision>
  <cp:lastPrinted>2014-02-17T17:58:00Z</cp:lastPrinted>
  <dcterms:created xsi:type="dcterms:W3CDTF">2015-07-06T20:22:00Z</dcterms:created>
  <dcterms:modified xsi:type="dcterms:W3CDTF">2015-07-09T15:25:00Z</dcterms:modified>
</cp:coreProperties>
</file>