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CA09B7">
        <w:rPr>
          <w:rFonts w:asciiTheme="majorHAnsi" w:hAnsiTheme="majorHAnsi"/>
          <w:szCs w:val="22"/>
        </w:rPr>
        <w:t>September 13, 2012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3959FB">
        <w:rPr>
          <w:rFonts w:asciiTheme="majorHAnsi" w:hAnsiTheme="majorHAnsi"/>
          <w:szCs w:val="22"/>
        </w:rPr>
        <w:t>Andrea Gaedigk, Deanna Kroetz, Ellie McDonagh</w:t>
      </w:r>
      <w:proofErr w:type="gramStart"/>
      <w:r w:rsidR="003959FB">
        <w:rPr>
          <w:rFonts w:asciiTheme="majorHAnsi" w:hAnsiTheme="majorHAnsi"/>
          <w:szCs w:val="22"/>
        </w:rPr>
        <w:t>, ,</w:t>
      </w:r>
      <w:proofErr w:type="gramEnd"/>
      <w:r w:rsidR="003959FB">
        <w:rPr>
          <w:rFonts w:asciiTheme="majorHAnsi" w:hAnsiTheme="majorHAnsi"/>
          <w:szCs w:val="22"/>
        </w:rPr>
        <w:t xml:space="preserve"> Julie Johnson, Kathryn Teng, Kevin Hicks, Kristine Crews, , Marc Williams, Mark </w:t>
      </w:r>
      <w:r w:rsidR="003959FB" w:rsidRPr="00CA09B7">
        <w:rPr>
          <w:rFonts w:asciiTheme="majorHAnsi" w:hAnsiTheme="majorHAnsi"/>
          <w:szCs w:val="22"/>
        </w:rPr>
        <w:t>Avigan</w:t>
      </w:r>
      <w:r w:rsidR="003959FB">
        <w:rPr>
          <w:rFonts w:asciiTheme="majorHAnsi" w:hAnsiTheme="majorHAnsi"/>
          <w:szCs w:val="22"/>
        </w:rPr>
        <w:t xml:space="preserve">, Mary Relling, , Michelle Carrillo, Rachel Tyndale, Robert Freimuth, Steven Scherer, Stuart Scott, Todd Skaar, </w:t>
      </w:r>
      <w:r w:rsidR="00CA09B7">
        <w:rPr>
          <w:rFonts w:asciiTheme="majorHAnsi" w:hAnsiTheme="majorHAnsi"/>
          <w:szCs w:val="22"/>
        </w:rPr>
        <w:t xml:space="preserve">, Katrin Saagkuhl, Teri Klein, Cyrine Haidar, Gillian Bell, </w:t>
      </w:r>
      <w:r w:rsidR="00337AC2">
        <w:rPr>
          <w:rFonts w:asciiTheme="majorHAnsi" w:hAnsiTheme="majorHAnsi"/>
          <w:szCs w:val="22"/>
        </w:rPr>
        <w:t xml:space="preserve">Mark </w:t>
      </w:r>
      <w:r w:rsidR="00337AC2" w:rsidRPr="00337AC2">
        <w:rPr>
          <w:rFonts w:asciiTheme="majorHAnsi" w:hAnsiTheme="majorHAnsi"/>
          <w:szCs w:val="22"/>
        </w:rPr>
        <w:t>Dunnenberger</w:t>
      </w:r>
      <w:r w:rsidR="00337AC2">
        <w:rPr>
          <w:rFonts w:asciiTheme="majorHAnsi" w:hAnsiTheme="majorHAnsi"/>
          <w:szCs w:val="22"/>
        </w:rPr>
        <w:t xml:space="preserve">, James Hoffman, Kelly Caudle, Katrin </w:t>
      </w:r>
      <w:r w:rsidR="00337AC2" w:rsidRPr="00337AC2">
        <w:rPr>
          <w:rFonts w:asciiTheme="majorHAnsi" w:hAnsiTheme="majorHAnsi"/>
          <w:szCs w:val="22"/>
        </w:rPr>
        <w:t>Sangkuhl</w:t>
      </w:r>
      <w:r w:rsidR="00337AC2">
        <w:rPr>
          <w:rFonts w:asciiTheme="majorHAnsi" w:hAnsiTheme="majorHAnsi"/>
          <w:szCs w:val="22"/>
        </w:rPr>
        <w:t xml:space="preserve">, </w:t>
      </w:r>
      <w:r w:rsidR="00337AC2" w:rsidRPr="00337AC2">
        <w:rPr>
          <w:rFonts w:asciiTheme="majorHAnsi" w:hAnsiTheme="majorHAnsi"/>
          <w:szCs w:val="22"/>
        </w:rPr>
        <w:t>José A.G. Agúndez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C8424B" w:rsidRPr="003D4320" w:rsidTr="00953AC3">
        <w:trPr>
          <w:trHeight w:val="7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7B" w:rsidRPr="003D4320" w:rsidRDefault="00B96C08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 authorship policy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B96C08" w:rsidP="00953AC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</w:t>
            </w:r>
            <w:r w:rsidR="00953AC3">
              <w:rPr>
                <w:rFonts w:asciiTheme="majorHAnsi" w:hAnsiTheme="majorHAnsi"/>
                <w:szCs w:val="22"/>
              </w:rPr>
              <w:t>CPIC Coordinating Committee (Drs. Long, Klein, Relling, Johns</w:t>
            </w:r>
            <w:r>
              <w:rPr>
                <w:rFonts w:asciiTheme="majorHAnsi" w:hAnsiTheme="majorHAnsi"/>
                <w:szCs w:val="22"/>
              </w:rPr>
              <w:t xml:space="preserve">on, and Roden) established a CPIC guideline authorship policy. Dr. Relling reviewed this policy. </w:t>
            </w:r>
          </w:p>
          <w:p w:rsidR="00953AC3" w:rsidRPr="003959FB" w:rsidRDefault="00B96C08" w:rsidP="00953AC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Discussed</w:t>
            </w:r>
            <w:r w:rsidR="00D64D37">
              <w:rPr>
                <w:rFonts w:asciiTheme="majorHAnsi" w:hAnsiTheme="majorHAnsi"/>
                <w:szCs w:val="22"/>
              </w:rPr>
              <w:t xml:space="preserve"> and agreed</w:t>
            </w:r>
            <w:r>
              <w:rPr>
                <w:rFonts w:asciiTheme="majorHAnsi" w:hAnsiTheme="majorHAnsi"/>
                <w:szCs w:val="22"/>
              </w:rPr>
              <w:t xml:space="preserve"> adding </w:t>
            </w:r>
            <w:r w:rsidR="000C0537">
              <w:rPr>
                <w:rFonts w:asciiTheme="majorHAnsi" w:hAnsiTheme="majorHAnsi"/>
                <w:szCs w:val="22"/>
              </w:rPr>
              <w:t>statement about senior author involvement in updates.</w:t>
            </w:r>
          </w:p>
          <w:p w:rsidR="00DE4C9F" w:rsidRPr="00DE4C9F" w:rsidRDefault="00DE4C9F" w:rsidP="00DE4C9F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AC3" w:rsidRDefault="000C0537" w:rsidP="00953AC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Final version will be sent to CPIC members</w:t>
            </w:r>
            <w:r w:rsidR="00DB255F">
              <w:rPr>
                <w:rFonts w:asciiTheme="majorHAnsi" w:hAnsiTheme="majorHAnsi"/>
                <w:szCs w:val="22"/>
              </w:rPr>
              <w:t xml:space="preserve"> after the call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:rsidR="001C48DD" w:rsidRPr="003D4320" w:rsidRDefault="001C48DD" w:rsidP="00DE4C9F">
            <w:pPr>
              <w:rPr>
                <w:rFonts w:asciiTheme="majorHAnsi" w:hAnsiTheme="majorHAnsi"/>
                <w:szCs w:val="22"/>
              </w:rPr>
            </w:pP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0C0537" w:rsidP="001C48D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Survey of CPIC members</w:t>
            </w:r>
          </w:p>
          <w:p w:rsidR="001C48DD" w:rsidRDefault="001C48DD" w:rsidP="00864177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1C5" w:rsidRDefault="000C0537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Discussed possible items to include in survey of CPIC members: </w:t>
            </w:r>
          </w:p>
          <w:p w:rsidR="004661C5" w:rsidRDefault="000C0537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1) Update CPIC membership list (interest and affiliation and status) </w:t>
            </w:r>
          </w:p>
          <w:p w:rsidR="004661C5" w:rsidRDefault="000C0537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2) Use of G6PD tests (enzyme activity vs. genetic test) </w:t>
            </w:r>
          </w:p>
          <w:p w:rsidR="004661C5" w:rsidRDefault="000C0537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3) </w:t>
            </w:r>
            <w:r w:rsidR="00C8416B">
              <w:rPr>
                <w:rFonts w:asciiTheme="majorHAnsi" w:hAnsiTheme="majorHAnsi"/>
                <w:szCs w:val="22"/>
              </w:rPr>
              <w:t xml:space="preserve">G6PD </w:t>
            </w:r>
            <w:r>
              <w:rPr>
                <w:rFonts w:asciiTheme="majorHAnsi" w:hAnsiTheme="majorHAnsi"/>
                <w:szCs w:val="22"/>
              </w:rPr>
              <w:t xml:space="preserve">drug alerts at </w:t>
            </w:r>
            <w:r w:rsidR="00C8416B">
              <w:rPr>
                <w:rFonts w:asciiTheme="majorHAnsi" w:hAnsiTheme="majorHAnsi"/>
                <w:szCs w:val="22"/>
              </w:rPr>
              <w:t xml:space="preserve">respondent’s </w:t>
            </w:r>
            <w:r>
              <w:rPr>
                <w:rFonts w:asciiTheme="majorHAnsi" w:hAnsiTheme="majorHAnsi"/>
                <w:szCs w:val="22"/>
              </w:rPr>
              <w:t xml:space="preserve">institution </w:t>
            </w:r>
          </w:p>
          <w:p w:rsidR="001C48DD" w:rsidRDefault="002C6A3F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4) A</w:t>
            </w:r>
            <w:bookmarkStart w:id="0" w:name="_GoBack"/>
            <w:bookmarkEnd w:id="0"/>
            <w:r w:rsidR="000C0537">
              <w:rPr>
                <w:rFonts w:asciiTheme="majorHAnsi" w:hAnsiTheme="majorHAnsi"/>
                <w:szCs w:val="22"/>
              </w:rPr>
              <w:t>sk for any other</w:t>
            </w:r>
            <w:r w:rsidR="004661C5">
              <w:rPr>
                <w:rFonts w:asciiTheme="majorHAnsi" w:hAnsiTheme="majorHAnsi"/>
                <w:szCs w:val="22"/>
              </w:rPr>
              <w:t xml:space="preserve"> genes tested or drug</w:t>
            </w:r>
            <w:r w:rsidR="000C0537">
              <w:rPr>
                <w:rFonts w:asciiTheme="majorHAnsi" w:hAnsiTheme="majorHAnsi"/>
                <w:szCs w:val="22"/>
              </w:rPr>
              <w:t xml:space="preserve"> alerts (based on genetics) at respondent’s institution</w:t>
            </w:r>
            <w:r w:rsidR="00C8416B">
              <w:rPr>
                <w:rFonts w:asciiTheme="majorHAnsi" w:hAnsiTheme="majorHAnsi"/>
                <w:szCs w:val="22"/>
              </w:rPr>
              <w:t xml:space="preserve"> (other than 11 listed genes).</w:t>
            </w:r>
          </w:p>
          <w:p w:rsidR="004661C5" w:rsidRDefault="00706BE9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It was </w:t>
            </w:r>
            <w:r w:rsidR="004661C5">
              <w:rPr>
                <w:rFonts w:asciiTheme="majorHAnsi" w:hAnsiTheme="majorHAnsi"/>
                <w:szCs w:val="22"/>
              </w:rPr>
              <w:t xml:space="preserve">suggested </w:t>
            </w:r>
            <w:r>
              <w:rPr>
                <w:rFonts w:asciiTheme="majorHAnsi" w:hAnsiTheme="majorHAnsi"/>
                <w:szCs w:val="22"/>
              </w:rPr>
              <w:t xml:space="preserve">that CPIC consider </w:t>
            </w:r>
            <w:r w:rsidR="004661C5">
              <w:rPr>
                <w:rFonts w:asciiTheme="majorHAnsi" w:hAnsiTheme="majorHAnsi"/>
                <w:szCs w:val="22"/>
              </w:rPr>
              <w:t>strong survey development support especially if asking questions regarding areas of qualitative judgment.</w:t>
            </w:r>
          </w:p>
          <w:p w:rsidR="00C8416B" w:rsidRPr="003959FB" w:rsidRDefault="00C8416B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Volunteers solicited for survey development.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C8416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Teri will work with </w:t>
            </w:r>
            <w:proofErr w:type="spellStart"/>
            <w:r w:rsidR="006F3330">
              <w:rPr>
                <w:rFonts w:asciiTheme="majorHAnsi" w:hAnsiTheme="majorHAnsi"/>
                <w:szCs w:val="22"/>
              </w:rPr>
              <w:t>PharmGKB</w:t>
            </w:r>
            <w:proofErr w:type="spellEnd"/>
            <w:r w:rsidR="006F3330">
              <w:rPr>
                <w:rFonts w:asciiTheme="majorHAnsi" w:hAnsiTheme="majorHAnsi"/>
                <w:szCs w:val="22"/>
              </w:rPr>
              <w:t xml:space="preserve"> staff </w:t>
            </w:r>
            <w:r>
              <w:rPr>
                <w:rFonts w:asciiTheme="majorHAnsi" w:hAnsiTheme="majorHAnsi"/>
                <w:szCs w:val="22"/>
              </w:rPr>
              <w:t>to develop survey. Steering committee will review.</w:t>
            </w:r>
          </w:p>
        </w:tc>
      </w:tr>
      <w:tr w:rsidR="00953AC3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AC3" w:rsidRDefault="00C8416B" w:rsidP="00953AC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Guidelines in progress</w:t>
            </w:r>
          </w:p>
          <w:p w:rsidR="00953AC3" w:rsidRDefault="00953AC3" w:rsidP="001C48DD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00" w:rsidRDefault="00CD3200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Kevin Hicks:</w:t>
            </w:r>
          </w:p>
          <w:p w:rsidR="00CD3200" w:rsidRDefault="00C8416B" w:rsidP="00CD3200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Theme="majorHAnsi" w:hAnsiTheme="majorHAnsi"/>
                <w:szCs w:val="22"/>
              </w:rPr>
            </w:pPr>
            <w:r w:rsidRPr="00CD3200">
              <w:rPr>
                <w:rFonts w:asciiTheme="majorHAnsi" w:hAnsiTheme="majorHAnsi"/>
                <w:szCs w:val="22"/>
              </w:rPr>
              <w:t>CYP2D6/</w:t>
            </w:r>
            <w:r w:rsidR="00CD3200">
              <w:rPr>
                <w:rFonts w:asciiTheme="majorHAnsi" w:hAnsiTheme="majorHAnsi"/>
                <w:szCs w:val="22"/>
              </w:rPr>
              <w:t>2C19/TCA guideline (near final)</w:t>
            </w:r>
          </w:p>
          <w:p w:rsidR="00953AC3" w:rsidRDefault="00CD3200" w:rsidP="00CD3200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Table S13 discussed: additional “PK” designation confusing; </w:t>
            </w:r>
            <w:r w:rsidR="00706BE9">
              <w:rPr>
                <w:rFonts w:asciiTheme="majorHAnsi" w:hAnsiTheme="majorHAnsi"/>
                <w:szCs w:val="22"/>
              </w:rPr>
              <w:t xml:space="preserve">it was </w:t>
            </w:r>
            <w:r>
              <w:rPr>
                <w:rFonts w:asciiTheme="majorHAnsi" w:hAnsiTheme="majorHAnsi"/>
                <w:szCs w:val="22"/>
              </w:rPr>
              <w:t xml:space="preserve">recommended </w:t>
            </w:r>
            <w:r w:rsidR="00706BE9">
              <w:rPr>
                <w:rFonts w:asciiTheme="majorHAnsi" w:hAnsiTheme="majorHAnsi"/>
                <w:szCs w:val="22"/>
              </w:rPr>
              <w:t xml:space="preserve">to remove </w:t>
            </w:r>
            <w:r>
              <w:rPr>
                <w:rFonts w:asciiTheme="majorHAnsi" w:hAnsiTheme="majorHAnsi"/>
                <w:szCs w:val="22"/>
              </w:rPr>
              <w:t>“PK”</w:t>
            </w:r>
          </w:p>
          <w:p w:rsidR="00D64D37" w:rsidRPr="00D64D37" w:rsidRDefault="00706BE9" w:rsidP="00D64D37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It was </w:t>
            </w:r>
            <w:r w:rsidR="00036D28">
              <w:rPr>
                <w:rFonts w:asciiTheme="majorHAnsi" w:hAnsiTheme="majorHAnsi"/>
                <w:szCs w:val="22"/>
              </w:rPr>
              <w:t xml:space="preserve">suggested to clarify “starting dose” </w:t>
            </w:r>
            <w:r>
              <w:rPr>
                <w:rFonts w:asciiTheme="majorHAnsi" w:hAnsiTheme="majorHAnsi"/>
                <w:szCs w:val="22"/>
              </w:rPr>
              <w:t>vs a “</w:t>
            </w:r>
            <w:r w:rsidR="00036D28">
              <w:rPr>
                <w:rFonts w:asciiTheme="majorHAnsi" w:hAnsiTheme="majorHAnsi"/>
                <w:szCs w:val="22"/>
              </w:rPr>
              <w:t>ramp-up</w:t>
            </w:r>
            <w:r>
              <w:rPr>
                <w:rFonts w:asciiTheme="majorHAnsi" w:hAnsiTheme="majorHAnsi"/>
                <w:szCs w:val="22"/>
              </w:rPr>
              <w:t xml:space="preserve">” </w:t>
            </w:r>
            <w:r w:rsidR="00036D28">
              <w:rPr>
                <w:rFonts w:asciiTheme="majorHAnsi" w:hAnsiTheme="majorHAnsi"/>
                <w:szCs w:val="22"/>
              </w:rPr>
              <w:t xml:space="preserve"> dose</w:t>
            </w:r>
          </w:p>
          <w:p w:rsidR="00036D28" w:rsidRDefault="00706BE9" w:rsidP="00CD3200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It was </w:t>
            </w:r>
            <w:r w:rsidR="00036D28">
              <w:rPr>
                <w:rFonts w:asciiTheme="majorHAnsi" w:hAnsiTheme="majorHAnsi"/>
                <w:szCs w:val="22"/>
              </w:rPr>
              <w:t xml:space="preserve">suggested </w:t>
            </w:r>
            <w:r>
              <w:rPr>
                <w:rFonts w:asciiTheme="majorHAnsi" w:hAnsiTheme="majorHAnsi"/>
                <w:szCs w:val="22"/>
              </w:rPr>
              <w:t xml:space="preserve">to consider </w:t>
            </w:r>
            <w:r w:rsidR="00036D28">
              <w:rPr>
                <w:rFonts w:asciiTheme="majorHAnsi" w:hAnsiTheme="majorHAnsi"/>
                <w:szCs w:val="22"/>
              </w:rPr>
              <w:t xml:space="preserve">moving Table S19 </w:t>
            </w:r>
            <w:r w:rsidR="00D64D37">
              <w:rPr>
                <w:rFonts w:asciiTheme="majorHAnsi" w:hAnsiTheme="majorHAnsi"/>
                <w:szCs w:val="22"/>
              </w:rPr>
              <w:t xml:space="preserve">(combined CYP2D6 and CYP2C19 dosing recommendations) </w:t>
            </w:r>
            <w:r w:rsidR="00036D28">
              <w:rPr>
                <w:rFonts w:asciiTheme="majorHAnsi" w:hAnsiTheme="majorHAnsi"/>
                <w:szCs w:val="22"/>
              </w:rPr>
              <w:t xml:space="preserve">to main text; </w:t>
            </w:r>
            <w:r w:rsidR="00D64D37">
              <w:rPr>
                <w:rFonts w:asciiTheme="majorHAnsi" w:hAnsiTheme="majorHAnsi"/>
                <w:szCs w:val="22"/>
              </w:rPr>
              <w:t>Kevin stated there is currently a lack of clinical data on how these combined genotypes affect TCA outcomes</w:t>
            </w:r>
            <w:r>
              <w:rPr>
                <w:rFonts w:asciiTheme="majorHAnsi" w:hAnsiTheme="majorHAnsi"/>
                <w:szCs w:val="22"/>
              </w:rPr>
              <w:t>, and authors hope that publication of this guideline will stimulate additional research on using the combined genotypes for dosing</w:t>
            </w:r>
            <w:r w:rsidR="00D64D37">
              <w:rPr>
                <w:rFonts w:asciiTheme="majorHAnsi" w:hAnsiTheme="majorHAnsi"/>
                <w:szCs w:val="22"/>
              </w:rPr>
              <w:t>. Rachel suggested a commentary be submitted with the paper addressing this (authored by a non-TCA CPIC guideline author)</w:t>
            </w:r>
          </w:p>
          <w:p w:rsidR="00285D31" w:rsidRDefault="00285D31" w:rsidP="00285D31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Michelle Carillo</w:t>
            </w:r>
          </w:p>
          <w:p w:rsidR="00285D31" w:rsidRDefault="00285D31" w:rsidP="00285D31">
            <w:pPr>
              <w:pStyle w:val="ListParagraph"/>
              <w:widowControl/>
              <w:numPr>
                <w:ilvl w:val="0"/>
                <w:numId w:val="2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HLA/CBZ guideline (near final)—posted 8/30 to CPIC site; comments were due back Sept 10</w:t>
            </w:r>
          </w:p>
          <w:p w:rsidR="00285D31" w:rsidRDefault="00285D31" w:rsidP="00285D31">
            <w:pPr>
              <w:pStyle w:val="ListParagraph"/>
              <w:widowControl/>
              <w:numPr>
                <w:ilvl w:val="0"/>
                <w:numId w:val="2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They have received comments and are addressing issues</w:t>
            </w:r>
          </w:p>
          <w:p w:rsidR="00285D31" w:rsidRDefault="00706BE9" w:rsidP="00285D31">
            <w:pPr>
              <w:pStyle w:val="ListParagraph"/>
              <w:widowControl/>
              <w:numPr>
                <w:ilvl w:val="0"/>
                <w:numId w:val="2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It was </w:t>
            </w:r>
            <w:r w:rsidR="00285D31">
              <w:rPr>
                <w:rFonts w:asciiTheme="majorHAnsi" w:hAnsiTheme="majorHAnsi"/>
                <w:szCs w:val="22"/>
              </w:rPr>
              <w:t xml:space="preserve">suggested </w:t>
            </w:r>
            <w:r>
              <w:rPr>
                <w:rFonts w:asciiTheme="majorHAnsi" w:hAnsiTheme="majorHAnsi"/>
                <w:szCs w:val="22"/>
              </w:rPr>
              <w:t xml:space="preserve">to remove the </w:t>
            </w:r>
            <w:r w:rsidR="00285D31">
              <w:rPr>
                <w:rFonts w:asciiTheme="majorHAnsi" w:hAnsiTheme="majorHAnsi"/>
                <w:szCs w:val="22"/>
              </w:rPr>
              <w:t xml:space="preserve">statement in  introduction referring to other structurally and therapeutically related drugs (if recommendation </w:t>
            </w:r>
            <w:r>
              <w:rPr>
                <w:rFonts w:asciiTheme="majorHAnsi" w:hAnsiTheme="majorHAnsi"/>
                <w:szCs w:val="22"/>
              </w:rPr>
              <w:t xml:space="preserve">is </w:t>
            </w:r>
            <w:r w:rsidR="00285D31">
              <w:rPr>
                <w:rFonts w:asciiTheme="majorHAnsi" w:hAnsiTheme="majorHAnsi"/>
                <w:szCs w:val="22"/>
              </w:rPr>
              <w:t>only for CBZ)</w:t>
            </w:r>
          </w:p>
          <w:p w:rsidR="00285D31" w:rsidRPr="00285D31" w:rsidRDefault="00285D31" w:rsidP="00285D31">
            <w:pPr>
              <w:pStyle w:val="ListParagraph"/>
              <w:widowControl/>
              <w:numPr>
                <w:ilvl w:val="0"/>
                <w:numId w:val="2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Discussed adding statement to </w:t>
            </w:r>
            <w:r w:rsidR="00706BE9">
              <w:rPr>
                <w:rFonts w:asciiTheme="majorHAnsi" w:hAnsiTheme="majorHAnsi"/>
                <w:szCs w:val="22"/>
              </w:rPr>
              <w:t xml:space="preserve">dosing </w:t>
            </w:r>
            <w:r>
              <w:rPr>
                <w:rFonts w:asciiTheme="majorHAnsi" w:hAnsiTheme="majorHAnsi"/>
                <w:szCs w:val="22"/>
              </w:rPr>
              <w:t>recommendation</w:t>
            </w:r>
            <w:r w:rsidR="00706BE9">
              <w:rPr>
                <w:rFonts w:asciiTheme="majorHAnsi" w:hAnsiTheme="majorHAnsi"/>
                <w:szCs w:val="22"/>
              </w:rPr>
              <w:t>s</w:t>
            </w:r>
            <w:r>
              <w:rPr>
                <w:rFonts w:asciiTheme="majorHAnsi" w:hAnsiTheme="majorHAnsi"/>
                <w:szCs w:val="22"/>
              </w:rPr>
              <w:t xml:space="preserve"> that drugs that are structurally similar should not be used as an alternative therapy to CBZ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BE9" w:rsidRPr="004F090D" w:rsidRDefault="00285D31" w:rsidP="004F090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Kevin will take suggestions to co-</w:t>
            </w:r>
            <w:r w:rsidR="00706BE9">
              <w:rPr>
                <w:rFonts w:asciiTheme="majorHAnsi" w:hAnsiTheme="majorHAnsi"/>
                <w:szCs w:val="22"/>
              </w:rPr>
              <w:t>authors.</w:t>
            </w:r>
            <w:r w:rsidR="00706BE9" w:rsidRPr="00706BE9">
              <w:rPr>
                <w:rFonts w:asciiTheme="majorHAnsi" w:hAnsiTheme="majorHAnsi"/>
                <w:szCs w:val="22"/>
              </w:rPr>
              <w:t xml:space="preserve"> Deadline</w:t>
            </w:r>
            <w:r w:rsidR="00706BE9" w:rsidRPr="004F090D">
              <w:rPr>
                <w:rFonts w:asciiTheme="majorHAnsi" w:hAnsiTheme="majorHAnsi"/>
                <w:szCs w:val="22"/>
              </w:rPr>
              <w:t xml:space="preserve"> for co-authors and CPIC members review is September 19</w:t>
            </w:r>
            <w:r w:rsidR="00706BE9" w:rsidRPr="004F090D">
              <w:rPr>
                <w:rFonts w:asciiTheme="majorHAnsi" w:hAnsiTheme="majorHAnsi"/>
                <w:szCs w:val="22"/>
                <w:vertAlign w:val="superscript"/>
              </w:rPr>
              <w:t>th</w:t>
            </w:r>
            <w:r w:rsidR="00706BE9" w:rsidRPr="004F090D">
              <w:rPr>
                <w:rFonts w:asciiTheme="majorHAnsi" w:hAnsiTheme="majorHAnsi"/>
                <w:szCs w:val="22"/>
              </w:rPr>
              <w:t xml:space="preserve">. </w:t>
            </w:r>
            <w:r w:rsidR="00706BE9">
              <w:rPr>
                <w:rFonts w:asciiTheme="majorHAnsi" w:hAnsiTheme="majorHAnsi"/>
                <w:szCs w:val="22"/>
              </w:rPr>
              <w:t>Recommendations welcome on possible authors for a commentary.</w:t>
            </w: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4661C5" w:rsidRDefault="004661C5" w:rsidP="00C8416B">
            <w:pPr>
              <w:rPr>
                <w:rFonts w:asciiTheme="majorHAnsi" w:hAnsiTheme="majorHAnsi"/>
                <w:szCs w:val="22"/>
              </w:rPr>
            </w:pPr>
          </w:p>
          <w:p w:rsidR="004661C5" w:rsidRDefault="004661C5" w:rsidP="00C8416B">
            <w:pPr>
              <w:rPr>
                <w:rFonts w:asciiTheme="majorHAnsi" w:hAnsiTheme="majorHAnsi"/>
                <w:szCs w:val="22"/>
              </w:rPr>
            </w:pPr>
          </w:p>
          <w:p w:rsidR="004661C5" w:rsidRDefault="004661C5" w:rsidP="00C8416B">
            <w:pPr>
              <w:rPr>
                <w:rFonts w:asciiTheme="majorHAnsi" w:hAnsiTheme="majorHAnsi"/>
                <w:szCs w:val="22"/>
              </w:rPr>
            </w:pPr>
          </w:p>
          <w:p w:rsidR="004661C5" w:rsidRDefault="004661C5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Michelle to follow-up</w:t>
            </w: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</w:tc>
      </w:tr>
      <w:tr w:rsidR="00D8028F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040149" w:rsidP="0004014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Introduce CPIC Coordinator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040149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Caudle, Pharm.D., Ph.D </w:t>
            </w:r>
            <w:r w:rsidR="00FE7D5C">
              <w:rPr>
                <w:rFonts w:asciiTheme="majorHAnsi" w:hAnsiTheme="majorHAnsi"/>
                <w:szCs w:val="22"/>
              </w:rPr>
              <w:t xml:space="preserve">is the </w:t>
            </w:r>
            <w:r>
              <w:rPr>
                <w:rFonts w:asciiTheme="majorHAnsi" w:hAnsiTheme="majorHAnsi"/>
                <w:szCs w:val="22"/>
              </w:rPr>
              <w:t>new CPIC Coordinator. Her primary duty is to help keep guidelines</w:t>
            </w:r>
            <w:r w:rsidR="001B14B8">
              <w:rPr>
                <w:rFonts w:asciiTheme="majorHAnsi" w:hAnsiTheme="majorHAnsi"/>
                <w:szCs w:val="22"/>
              </w:rPr>
              <w:t xml:space="preserve"> and updates</w:t>
            </w:r>
            <w:r>
              <w:rPr>
                <w:rFonts w:asciiTheme="majorHAnsi" w:hAnsiTheme="majorHAnsi"/>
                <w:szCs w:val="22"/>
              </w:rPr>
              <w:t xml:space="preserve"> going with PharmGKB. She is also responsible for checking for CPIC template/SOP compliance.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D8028F" w:rsidP="00C8416B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24" w:rsidRDefault="00914024" w:rsidP="00E00679">
      <w:r>
        <w:separator/>
      </w:r>
    </w:p>
  </w:endnote>
  <w:endnote w:type="continuationSeparator" w:id="0">
    <w:p w:rsidR="00914024" w:rsidRDefault="00914024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24" w:rsidRDefault="00914024" w:rsidP="00E00679">
      <w:r>
        <w:separator/>
      </w:r>
    </w:p>
  </w:footnote>
  <w:footnote w:type="continuationSeparator" w:id="0">
    <w:p w:rsidR="00914024" w:rsidRDefault="00914024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3AB5"/>
    <w:rsid w:val="000158C6"/>
    <w:rsid w:val="0002505E"/>
    <w:rsid w:val="0002655A"/>
    <w:rsid w:val="0002732C"/>
    <w:rsid w:val="0003317A"/>
    <w:rsid w:val="00036D28"/>
    <w:rsid w:val="00040149"/>
    <w:rsid w:val="00065D20"/>
    <w:rsid w:val="00071849"/>
    <w:rsid w:val="0009054A"/>
    <w:rsid w:val="00097667"/>
    <w:rsid w:val="00097EB1"/>
    <w:rsid w:val="000A4E1A"/>
    <w:rsid w:val="000B0DF9"/>
    <w:rsid w:val="000B290E"/>
    <w:rsid w:val="000C0537"/>
    <w:rsid w:val="000D27D4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2A08"/>
    <w:rsid w:val="00167896"/>
    <w:rsid w:val="001752B7"/>
    <w:rsid w:val="001810E5"/>
    <w:rsid w:val="001A118A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10C5C"/>
    <w:rsid w:val="00212DFE"/>
    <w:rsid w:val="00231D27"/>
    <w:rsid w:val="002344B6"/>
    <w:rsid w:val="0023623B"/>
    <w:rsid w:val="0023788C"/>
    <w:rsid w:val="00241ADC"/>
    <w:rsid w:val="00246A2E"/>
    <w:rsid w:val="00247AB2"/>
    <w:rsid w:val="0025356F"/>
    <w:rsid w:val="00255692"/>
    <w:rsid w:val="00260076"/>
    <w:rsid w:val="00260B34"/>
    <w:rsid w:val="00271A9C"/>
    <w:rsid w:val="00277E00"/>
    <w:rsid w:val="00284CC1"/>
    <w:rsid w:val="00285D31"/>
    <w:rsid w:val="002869BC"/>
    <w:rsid w:val="002A4D8C"/>
    <w:rsid w:val="002C49CD"/>
    <w:rsid w:val="002C6A3F"/>
    <w:rsid w:val="002E4B90"/>
    <w:rsid w:val="002F0507"/>
    <w:rsid w:val="00311421"/>
    <w:rsid w:val="00327286"/>
    <w:rsid w:val="00333E31"/>
    <w:rsid w:val="00333FDC"/>
    <w:rsid w:val="0033416E"/>
    <w:rsid w:val="00337AC2"/>
    <w:rsid w:val="0034265E"/>
    <w:rsid w:val="0034571B"/>
    <w:rsid w:val="00360653"/>
    <w:rsid w:val="003725F7"/>
    <w:rsid w:val="00372987"/>
    <w:rsid w:val="0037358B"/>
    <w:rsid w:val="0037681C"/>
    <w:rsid w:val="00376FFA"/>
    <w:rsid w:val="00380597"/>
    <w:rsid w:val="0038667B"/>
    <w:rsid w:val="00394558"/>
    <w:rsid w:val="00394E01"/>
    <w:rsid w:val="003959FB"/>
    <w:rsid w:val="003A3C7F"/>
    <w:rsid w:val="003A6D91"/>
    <w:rsid w:val="003B208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40382"/>
    <w:rsid w:val="00445D26"/>
    <w:rsid w:val="00457A70"/>
    <w:rsid w:val="00461127"/>
    <w:rsid w:val="004661C5"/>
    <w:rsid w:val="00474B97"/>
    <w:rsid w:val="00476BF7"/>
    <w:rsid w:val="00477418"/>
    <w:rsid w:val="00490568"/>
    <w:rsid w:val="004A3A57"/>
    <w:rsid w:val="004A5DEB"/>
    <w:rsid w:val="004B5764"/>
    <w:rsid w:val="004C714F"/>
    <w:rsid w:val="004D4E60"/>
    <w:rsid w:val="004E04C6"/>
    <w:rsid w:val="004E2E8E"/>
    <w:rsid w:val="004E689A"/>
    <w:rsid w:val="004F090D"/>
    <w:rsid w:val="005021D3"/>
    <w:rsid w:val="00514A8E"/>
    <w:rsid w:val="00523768"/>
    <w:rsid w:val="00527ECE"/>
    <w:rsid w:val="005364CB"/>
    <w:rsid w:val="00537ACC"/>
    <w:rsid w:val="0054107D"/>
    <w:rsid w:val="005639D7"/>
    <w:rsid w:val="005662D7"/>
    <w:rsid w:val="00571ED4"/>
    <w:rsid w:val="0057505A"/>
    <w:rsid w:val="00580E5F"/>
    <w:rsid w:val="00580FEF"/>
    <w:rsid w:val="00584DAE"/>
    <w:rsid w:val="00590E72"/>
    <w:rsid w:val="00593949"/>
    <w:rsid w:val="005A218A"/>
    <w:rsid w:val="005A564D"/>
    <w:rsid w:val="005A7E37"/>
    <w:rsid w:val="005B3DCC"/>
    <w:rsid w:val="005B4621"/>
    <w:rsid w:val="005B4C3B"/>
    <w:rsid w:val="005C0860"/>
    <w:rsid w:val="005C6523"/>
    <w:rsid w:val="005E2723"/>
    <w:rsid w:val="005E62F1"/>
    <w:rsid w:val="005E6335"/>
    <w:rsid w:val="005E66C9"/>
    <w:rsid w:val="005E6CC2"/>
    <w:rsid w:val="005F4FA6"/>
    <w:rsid w:val="005F6406"/>
    <w:rsid w:val="00600339"/>
    <w:rsid w:val="0060151A"/>
    <w:rsid w:val="00612211"/>
    <w:rsid w:val="00614A73"/>
    <w:rsid w:val="00620B4B"/>
    <w:rsid w:val="00622AF9"/>
    <w:rsid w:val="006353E6"/>
    <w:rsid w:val="00662EEF"/>
    <w:rsid w:val="0067768F"/>
    <w:rsid w:val="00683E8A"/>
    <w:rsid w:val="00695A95"/>
    <w:rsid w:val="0069742A"/>
    <w:rsid w:val="006A3925"/>
    <w:rsid w:val="006A43C2"/>
    <w:rsid w:val="006B0E66"/>
    <w:rsid w:val="006B1EF8"/>
    <w:rsid w:val="006E059E"/>
    <w:rsid w:val="006E6D2E"/>
    <w:rsid w:val="006F3330"/>
    <w:rsid w:val="00700E35"/>
    <w:rsid w:val="00706062"/>
    <w:rsid w:val="00706BE9"/>
    <w:rsid w:val="00736048"/>
    <w:rsid w:val="00740994"/>
    <w:rsid w:val="007535A4"/>
    <w:rsid w:val="00753881"/>
    <w:rsid w:val="0076225E"/>
    <w:rsid w:val="00790D46"/>
    <w:rsid w:val="00792870"/>
    <w:rsid w:val="007942AE"/>
    <w:rsid w:val="00795A80"/>
    <w:rsid w:val="007A57D0"/>
    <w:rsid w:val="007B1CE4"/>
    <w:rsid w:val="007C1FAB"/>
    <w:rsid w:val="007E1843"/>
    <w:rsid w:val="007E446E"/>
    <w:rsid w:val="007F3F3A"/>
    <w:rsid w:val="00805851"/>
    <w:rsid w:val="0081548F"/>
    <w:rsid w:val="00816E4D"/>
    <w:rsid w:val="008223C6"/>
    <w:rsid w:val="00824028"/>
    <w:rsid w:val="00827AE2"/>
    <w:rsid w:val="008353EA"/>
    <w:rsid w:val="008439EC"/>
    <w:rsid w:val="00843B6A"/>
    <w:rsid w:val="00845007"/>
    <w:rsid w:val="00864177"/>
    <w:rsid w:val="008667D6"/>
    <w:rsid w:val="0087385A"/>
    <w:rsid w:val="00876B79"/>
    <w:rsid w:val="00880B0B"/>
    <w:rsid w:val="00890D18"/>
    <w:rsid w:val="008A200A"/>
    <w:rsid w:val="008A24CD"/>
    <w:rsid w:val="008A55A8"/>
    <w:rsid w:val="008C3876"/>
    <w:rsid w:val="008C4A65"/>
    <w:rsid w:val="008C7ABC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35AD"/>
    <w:rsid w:val="00981CB6"/>
    <w:rsid w:val="00983774"/>
    <w:rsid w:val="00994156"/>
    <w:rsid w:val="00997F39"/>
    <w:rsid w:val="009A520D"/>
    <w:rsid w:val="009A7516"/>
    <w:rsid w:val="009B0261"/>
    <w:rsid w:val="009C7D5A"/>
    <w:rsid w:val="009D7EB6"/>
    <w:rsid w:val="00A0374D"/>
    <w:rsid w:val="00A326FF"/>
    <w:rsid w:val="00A36B4C"/>
    <w:rsid w:val="00A41A98"/>
    <w:rsid w:val="00A46308"/>
    <w:rsid w:val="00A51341"/>
    <w:rsid w:val="00A55C6A"/>
    <w:rsid w:val="00A60F7E"/>
    <w:rsid w:val="00A612DB"/>
    <w:rsid w:val="00A67343"/>
    <w:rsid w:val="00A73FEA"/>
    <w:rsid w:val="00A92AE4"/>
    <w:rsid w:val="00A978D7"/>
    <w:rsid w:val="00AB6965"/>
    <w:rsid w:val="00AC7B30"/>
    <w:rsid w:val="00AD0FBB"/>
    <w:rsid w:val="00AD14AB"/>
    <w:rsid w:val="00AD4382"/>
    <w:rsid w:val="00AE09E8"/>
    <w:rsid w:val="00AE4D0B"/>
    <w:rsid w:val="00AF20C2"/>
    <w:rsid w:val="00AF21C8"/>
    <w:rsid w:val="00B0022C"/>
    <w:rsid w:val="00B14CB6"/>
    <w:rsid w:val="00B16912"/>
    <w:rsid w:val="00B212AC"/>
    <w:rsid w:val="00B3249D"/>
    <w:rsid w:val="00B352C5"/>
    <w:rsid w:val="00B3627B"/>
    <w:rsid w:val="00B457F1"/>
    <w:rsid w:val="00B47B24"/>
    <w:rsid w:val="00B567CD"/>
    <w:rsid w:val="00B65663"/>
    <w:rsid w:val="00B74E84"/>
    <w:rsid w:val="00B91359"/>
    <w:rsid w:val="00B96C08"/>
    <w:rsid w:val="00BA29F1"/>
    <w:rsid w:val="00BE110E"/>
    <w:rsid w:val="00BE3168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A09B7"/>
    <w:rsid w:val="00CA43E4"/>
    <w:rsid w:val="00CD3200"/>
    <w:rsid w:val="00CE4120"/>
    <w:rsid w:val="00CF1DCB"/>
    <w:rsid w:val="00CF2234"/>
    <w:rsid w:val="00CF3800"/>
    <w:rsid w:val="00CF3900"/>
    <w:rsid w:val="00CF5CCB"/>
    <w:rsid w:val="00D0714E"/>
    <w:rsid w:val="00D072AC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4A36"/>
    <w:rsid w:val="00D64D37"/>
    <w:rsid w:val="00D732BB"/>
    <w:rsid w:val="00D801B2"/>
    <w:rsid w:val="00D8028F"/>
    <w:rsid w:val="00D82D23"/>
    <w:rsid w:val="00D85432"/>
    <w:rsid w:val="00DA13D0"/>
    <w:rsid w:val="00DB0A63"/>
    <w:rsid w:val="00DB255F"/>
    <w:rsid w:val="00DE4C9F"/>
    <w:rsid w:val="00DE5CF4"/>
    <w:rsid w:val="00DF27D3"/>
    <w:rsid w:val="00E00679"/>
    <w:rsid w:val="00E01179"/>
    <w:rsid w:val="00E07683"/>
    <w:rsid w:val="00E15E05"/>
    <w:rsid w:val="00E15E43"/>
    <w:rsid w:val="00E162A9"/>
    <w:rsid w:val="00E34AC4"/>
    <w:rsid w:val="00E446F4"/>
    <w:rsid w:val="00E52420"/>
    <w:rsid w:val="00E55262"/>
    <w:rsid w:val="00E64B2B"/>
    <w:rsid w:val="00E72BFE"/>
    <w:rsid w:val="00EA2223"/>
    <w:rsid w:val="00EB56B7"/>
    <w:rsid w:val="00EB58EC"/>
    <w:rsid w:val="00EC2B3F"/>
    <w:rsid w:val="00EC5D33"/>
    <w:rsid w:val="00EE5EDB"/>
    <w:rsid w:val="00EF1222"/>
    <w:rsid w:val="00F146AA"/>
    <w:rsid w:val="00F32800"/>
    <w:rsid w:val="00F34FE2"/>
    <w:rsid w:val="00F37CB7"/>
    <w:rsid w:val="00F415AB"/>
    <w:rsid w:val="00F41A9B"/>
    <w:rsid w:val="00F44E81"/>
    <w:rsid w:val="00F53BCB"/>
    <w:rsid w:val="00F61213"/>
    <w:rsid w:val="00F63D20"/>
    <w:rsid w:val="00F657C2"/>
    <w:rsid w:val="00F65DEC"/>
    <w:rsid w:val="00F66DE5"/>
    <w:rsid w:val="00F93BAA"/>
    <w:rsid w:val="00F93BEC"/>
    <w:rsid w:val="00FB45C5"/>
    <w:rsid w:val="00FB7593"/>
    <w:rsid w:val="00FD03E8"/>
    <w:rsid w:val="00FE7D5C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3</cp:revision>
  <cp:lastPrinted>2011-12-02T15:04:00Z</cp:lastPrinted>
  <dcterms:created xsi:type="dcterms:W3CDTF">2012-09-17T15:37:00Z</dcterms:created>
  <dcterms:modified xsi:type="dcterms:W3CDTF">2012-09-17T15:37:00Z</dcterms:modified>
</cp:coreProperties>
</file>