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24" w:rsidRPr="00394E01" w:rsidRDefault="00B47B24" w:rsidP="005F6406">
      <w:pPr>
        <w:tabs>
          <w:tab w:val="center" w:pos="7200"/>
        </w:tabs>
        <w:jc w:val="center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MINUTES</w:t>
      </w:r>
    </w:p>
    <w:p w:rsidR="00B47B24" w:rsidRPr="00394E01" w:rsidRDefault="00736048" w:rsidP="005F6406">
      <w:pPr>
        <w:tabs>
          <w:tab w:val="center" w:pos="7200"/>
        </w:tabs>
        <w:jc w:val="center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CPIC CONFERENCE CALL</w:t>
      </w:r>
    </w:p>
    <w:p w:rsidR="00B47B24" w:rsidRPr="00394E01" w:rsidRDefault="00B47B24" w:rsidP="005F6406">
      <w:pPr>
        <w:tabs>
          <w:tab w:val="center" w:pos="7200"/>
        </w:tabs>
        <w:jc w:val="center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ST. JUDE CHILDREN'S RESEARCH HOSPITAL</w:t>
      </w:r>
    </w:p>
    <w:p w:rsidR="00B47B24" w:rsidRPr="00394E01" w:rsidRDefault="00B47B24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B47B24" w:rsidRPr="00394E01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94E01">
        <w:rPr>
          <w:rFonts w:asciiTheme="majorHAnsi" w:hAnsiTheme="majorHAnsi"/>
          <w:szCs w:val="22"/>
        </w:rPr>
        <w:t>DATE:</w:t>
      </w:r>
      <w:r w:rsidRPr="00394E01">
        <w:rPr>
          <w:rFonts w:asciiTheme="majorHAnsi" w:hAnsiTheme="majorHAnsi"/>
          <w:szCs w:val="22"/>
        </w:rPr>
        <w:tab/>
      </w:r>
      <w:r w:rsidR="00622AF9" w:rsidRPr="00394E01">
        <w:rPr>
          <w:rFonts w:asciiTheme="majorHAnsi" w:hAnsiTheme="majorHAnsi"/>
          <w:szCs w:val="22"/>
        </w:rPr>
        <w:t>July 7th</w:t>
      </w:r>
      <w:r w:rsidR="00D53A59" w:rsidRPr="00394E01">
        <w:rPr>
          <w:rFonts w:asciiTheme="majorHAnsi" w:hAnsiTheme="majorHAnsi"/>
          <w:szCs w:val="22"/>
        </w:rPr>
        <w:t>, 2011</w:t>
      </w:r>
    </w:p>
    <w:p w:rsidR="001810E5" w:rsidRPr="00394E01" w:rsidRDefault="00B47B24" w:rsidP="005F6406">
      <w:pPr>
        <w:pStyle w:val="BodyTextIndent"/>
        <w:tabs>
          <w:tab w:val="left" w:pos="1890"/>
        </w:tabs>
        <w:rPr>
          <w:rFonts w:asciiTheme="majorHAnsi" w:hAnsiTheme="majorHAnsi"/>
          <w:sz w:val="22"/>
          <w:szCs w:val="22"/>
        </w:rPr>
      </w:pPr>
      <w:commentRangeStart w:id="0"/>
      <w:r w:rsidRPr="00394E01">
        <w:rPr>
          <w:rFonts w:asciiTheme="majorHAnsi" w:hAnsiTheme="majorHAnsi"/>
          <w:sz w:val="22"/>
          <w:szCs w:val="22"/>
        </w:rPr>
        <w:t xml:space="preserve">PRESENT: </w:t>
      </w:r>
      <w:r w:rsidRPr="00394E01">
        <w:rPr>
          <w:rFonts w:asciiTheme="majorHAnsi" w:hAnsiTheme="majorHAnsi"/>
          <w:sz w:val="22"/>
          <w:szCs w:val="22"/>
        </w:rPr>
        <w:tab/>
      </w:r>
      <w:r w:rsidR="00590E72" w:rsidRPr="00394E01">
        <w:rPr>
          <w:rFonts w:asciiTheme="majorHAnsi" w:hAnsiTheme="majorHAnsi"/>
          <w:sz w:val="22"/>
          <w:szCs w:val="22"/>
        </w:rPr>
        <w:t>Uli Broeckel</w:t>
      </w:r>
      <w:r w:rsidR="00372987" w:rsidRPr="00394E01">
        <w:rPr>
          <w:rFonts w:asciiTheme="majorHAnsi" w:hAnsiTheme="majorHAnsi"/>
          <w:sz w:val="22"/>
          <w:szCs w:val="22"/>
        </w:rPr>
        <w:t xml:space="preserve">, </w:t>
      </w:r>
      <w:r w:rsidR="003B2081" w:rsidRPr="00394E01">
        <w:rPr>
          <w:rFonts w:asciiTheme="majorHAnsi" w:hAnsiTheme="majorHAnsi"/>
          <w:sz w:val="22"/>
          <w:szCs w:val="22"/>
        </w:rPr>
        <w:t xml:space="preserve">Tom Callaghan, </w:t>
      </w:r>
      <w:r w:rsidR="00590E72" w:rsidRPr="00394E01">
        <w:rPr>
          <w:rFonts w:asciiTheme="majorHAnsi" w:hAnsiTheme="majorHAnsi"/>
          <w:sz w:val="22"/>
          <w:szCs w:val="22"/>
        </w:rPr>
        <w:t xml:space="preserve">Michelle Carrillo, </w:t>
      </w:r>
      <w:r w:rsidR="001810E5" w:rsidRPr="00394E01">
        <w:rPr>
          <w:rFonts w:asciiTheme="majorHAnsi" w:hAnsiTheme="majorHAnsi"/>
          <w:sz w:val="22"/>
          <w:szCs w:val="22"/>
        </w:rPr>
        <w:t xml:space="preserve">Kristine Crews, </w:t>
      </w:r>
      <w:r w:rsidR="003B2081" w:rsidRPr="00394E01">
        <w:rPr>
          <w:rFonts w:asciiTheme="majorHAnsi" w:hAnsiTheme="majorHAnsi"/>
          <w:sz w:val="22"/>
          <w:szCs w:val="22"/>
        </w:rPr>
        <w:t xml:space="preserve">Mark Dunnenberger, </w:t>
      </w:r>
      <w:r w:rsidR="006B1EF8" w:rsidRPr="00394E01">
        <w:rPr>
          <w:rFonts w:asciiTheme="majorHAnsi" w:hAnsiTheme="majorHAnsi"/>
          <w:sz w:val="22"/>
          <w:szCs w:val="22"/>
        </w:rPr>
        <w:t xml:space="preserve">Andrea Gaedigk, </w:t>
      </w:r>
      <w:r w:rsidR="001810E5" w:rsidRPr="00394E01">
        <w:rPr>
          <w:rFonts w:asciiTheme="majorHAnsi" w:hAnsiTheme="majorHAnsi"/>
          <w:sz w:val="22"/>
          <w:szCs w:val="22"/>
        </w:rPr>
        <w:t>James Hoffman,</w:t>
      </w:r>
      <w:r w:rsidR="00590E72" w:rsidRPr="00394E01">
        <w:rPr>
          <w:rFonts w:asciiTheme="majorHAnsi" w:hAnsiTheme="majorHAnsi"/>
          <w:sz w:val="22"/>
          <w:szCs w:val="22"/>
        </w:rPr>
        <w:t xml:space="preserve"> Lucia Hindorff, </w:t>
      </w:r>
      <w:r w:rsidR="00F41A9B" w:rsidRPr="00394E01">
        <w:rPr>
          <w:rFonts w:asciiTheme="majorHAnsi" w:hAnsiTheme="majorHAnsi"/>
          <w:sz w:val="22"/>
          <w:szCs w:val="22"/>
        </w:rPr>
        <w:t xml:space="preserve">Julie Johnson, </w:t>
      </w:r>
      <w:r w:rsidR="003B2081" w:rsidRPr="00394E01">
        <w:rPr>
          <w:rFonts w:asciiTheme="majorHAnsi" w:hAnsiTheme="majorHAnsi"/>
          <w:sz w:val="22"/>
          <w:szCs w:val="22"/>
        </w:rPr>
        <w:t>Teri Klein,</w:t>
      </w:r>
      <w:r w:rsidR="00590E72" w:rsidRPr="00394E01">
        <w:rPr>
          <w:rFonts w:asciiTheme="majorHAnsi" w:hAnsiTheme="majorHAnsi"/>
          <w:sz w:val="22"/>
          <w:szCs w:val="22"/>
        </w:rPr>
        <w:t xml:space="preserve"> Deanna Kroetz, </w:t>
      </w:r>
      <w:r w:rsidR="003B2081" w:rsidRPr="00394E01">
        <w:rPr>
          <w:rFonts w:asciiTheme="majorHAnsi" w:hAnsiTheme="majorHAnsi"/>
          <w:sz w:val="22"/>
          <w:szCs w:val="22"/>
        </w:rPr>
        <w:t xml:space="preserve">Rochelle Long, </w:t>
      </w:r>
      <w:r w:rsidR="00590E72" w:rsidRPr="00394E01">
        <w:rPr>
          <w:rFonts w:asciiTheme="majorHAnsi" w:hAnsiTheme="majorHAnsi"/>
          <w:sz w:val="22"/>
          <w:szCs w:val="22"/>
        </w:rPr>
        <w:t xml:space="preserve">Michael Martin, </w:t>
      </w:r>
      <w:r w:rsidR="003B2081" w:rsidRPr="00394E01">
        <w:rPr>
          <w:rFonts w:asciiTheme="majorHAnsi" w:hAnsiTheme="majorHAnsi"/>
          <w:sz w:val="22"/>
          <w:szCs w:val="22"/>
        </w:rPr>
        <w:t xml:space="preserve">Mary Relling, </w:t>
      </w:r>
      <w:r w:rsidR="00590E72" w:rsidRPr="00394E01">
        <w:rPr>
          <w:rFonts w:asciiTheme="majorHAnsi" w:hAnsiTheme="majorHAnsi"/>
          <w:sz w:val="22"/>
          <w:szCs w:val="22"/>
        </w:rPr>
        <w:t>Kathryn Teng, Rachel Tyndale</w:t>
      </w:r>
      <w:r w:rsidR="00EC2B3F" w:rsidRPr="00394E01">
        <w:rPr>
          <w:rFonts w:asciiTheme="majorHAnsi" w:hAnsiTheme="majorHAnsi"/>
          <w:sz w:val="22"/>
          <w:szCs w:val="22"/>
        </w:rPr>
        <w:t xml:space="preserve">, Andy Christensen, Donald Baker </w:t>
      </w:r>
      <w:commentRangeEnd w:id="0"/>
      <w:r w:rsidR="00622AF9" w:rsidRPr="00394E01">
        <w:rPr>
          <w:rStyle w:val="CommentReference"/>
          <w:rFonts w:asciiTheme="majorHAnsi" w:hAnsiTheme="majorHAnsi"/>
          <w:sz w:val="22"/>
          <w:szCs w:val="22"/>
        </w:rPr>
        <w:commentReference w:id="0"/>
      </w:r>
    </w:p>
    <w:p w:rsidR="001810E5" w:rsidRPr="00394E01" w:rsidRDefault="001810E5" w:rsidP="005F6406">
      <w:pPr>
        <w:pStyle w:val="BodyTextIndent"/>
        <w:tabs>
          <w:tab w:val="left" w:pos="1890"/>
        </w:tabs>
        <w:rPr>
          <w:rFonts w:asciiTheme="majorHAnsi" w:hAnsiTheme="majorHAnsi"/>
          <w:sz w:val="22"/>
          <w:szCs w:val="22"/>
        </w:rPr>
      </w:pPr>
    </w:p>
    <w:p w:rsidR="00B47B24" w:rsidRPr="00394E01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90"/>
        <w:gridCol w:w="8280"/>
        <w:gridCol w:w="4304"/>
      </w:tblGrid>
      <w:tr w:rsidR="00B47B24" w:rsidRPr="00394E01" w:rsidTr="00A46308">
        <w:trPr>
          <w:tblHeader/>
        </w:trPr>
        <w:tc>
          <w:tcPr>
            <w:tcW w:w="1890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8280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</w:tcPr>
          <w:p w:rsidR="00B47B24" w:rsidRPr="00394E01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B47B24" w:rsidRPr="00394E01" w:rsidTr="00A46308">
        <w:tc>
          <w:tcPr>
            <w:tcW w:w="1890" w:type="dxa"/>
          </w:tcPr>
          <w:p w:rsidR="00622AF9" w:rsidRPr="00394E01" w:rsidRDefault="00622AF9" w:rsidP="00622AF9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 xml:space="preserve">EGAPP Opinion Piece and possible Fall meeting </w:t>
            </w:r>
          </w:p>
          <w:p w:rsidR="00E52420" w:rsidRPr="00394E01" w:rsidRDefault="00E52420" w:rsidP="005F6406">
            <w:pPr>
              <w:rPr>
                <w:rFonts w:asciiTheme="majorHAnsi" w:hAnsiTheme="majorHAnsi"/>
                <w:szCs w:val="22"/>
              </w:rPr>
            </w:pPr>
          </w:p>
          <w:p w:rsidR="00E52420" w:rsidRPr="00394E01" w:rsidRDefault="00E52420" w:rsidP="005F6406">
            <w:pPr>
              <w:rPr>
                <w:rFonts w:asciiTheme="majorHAnsi" w:hAnsiTheme="majorHAnsi"/>
                <w:szCs w:val="22"/>
              </w:rPr>
            </w:pPr>
          </w:p>
          <w:p w:rsidR="00F53BCB" w:rsidRPr="00394E01" w:rsidRDefault="00F53BCB" w:rsidP="005F6406">
            <w:pPr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Letter to CPT sent in response to Amstutz and Carleton’s piece</w:t>
            </w:r>
          </w:p>
          <w:p w:rsidR="0025356F" w:rsidRPr="00394E01" w:rsidRDefault="0025356F" w:rsidP="00E52420">
            <w:pPr>
              <w:widowControl/>
              <w:spacing w:before="100" w:beforeAutospacing="1" w:after="100" w:afterAutospacing="1"/>
              <w:rPr>
                <w:rFonts w:asciiTheme="majorHAnsi" w:hAnsiTheme="majorHAnsi"/>
                <w:szCs w:val="22"/>
              </w:rPr>
            </w:pPr>
          </w:p>
          <w:p w:rsidR="00231D27" w:rsidRPr="00394E01" w:rsidRDefault="00231D27" w:rsidP="005F6406">
            <w:pPr>
              <w:rPr>
                <w:rFonts w:asciiTheme="majorHAnsi" w:hAnsiTheme="majorHAnsi"/>
                <w:szCs w:val="22"/>
              </w:rPr>
            </w:pPr>
          </w:p>
          <w:p w:rsidR="00231D27" w:rsidRPr="00394E01" w:rsidRDefault="00231D2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C86649" w:rsidRDefault="00C8664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231D27" w:rsidRPr="00394E01" w:rsidRDefault="0081548F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Longer format for guidelines noted</w:t>
            </w:r>
          </w:p>
          <w:p w:rsidR="00231D27" w:rsidRPr="00394E01" w:rsidRDefault="00231D2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7667" w:rsidRPr="00394E01" w:rsidRDefault="0009766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GTR summaries and CPIC review</w:t>
            </w: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876B79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 xml:space="preserve">HLA/Carbamazepine  Status </w:t>
            </w: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946402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Abacavir/HLA guideline--Deanna Kroetz, Michael Martin (drafts attached)</w:t>
            </w:r>
          </w:p>
          <w:p w:rsidR="005A218A" w:rsidRPr="00394E01" w:rsidRDefault="005A218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5A218A" w:rsidRPr="00394E01" w:rsidRDefault="005A218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5A218A" w:rsidRPr="00394E01" w:rsidRDefault="005A218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360653" w:rsidRPr="00394E01" w:rsidRDefault="00360653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46402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Codeine/CYP2D6 guidelines</w:t>
            </w: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F53BC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F53BC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F53BC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F53BC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F53BC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F53BC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B352C5" w:rsidRPr="00394E01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B352C5" w:rsidRPr="00394E01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C86649" w:rsidRDefault="00C86649" w:rsidP="00B352C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C86649" w:rsidRDefault="00C86649" w:rsidP="00B352C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C86649" w:rsidRDefault="00C86649" w:rsidP="00B352C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C86649" w:rsidRDefault="00C86649" w:rsidP="00B352C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AE09E8" w:rsidRPr="00394E01" w:rsidRDefault="00B352C5" w:rsidP="00B352C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Guideline updates</w:t>
            </w:r>
          </w:p>
          <w:p w:rsidR="00AE09E8" w:rsidRPr="00394E01" w:rsidRDefault="00AE09E8" w:rsidP="00F53BCB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Other discussion</w:t>
            </w:r>
            <w:r w:rsidR="00C86649">
              <w:rPr>
                <w:rFonts w:asciiTheme="majorHAnsi" w:hAnsiTheme="majorHAnsi"/>
                <w:szCs w:val="22"/>
              </w:rPr>
              <w:t xml:space="preserve"> on outcomes</w:t>
            </w: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09054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Next CPIC call</w:t>
            </w: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997F39">
            <w:pPr>
              <w:tabs>
                <w:tab w:val="left" w:pos="-388"/>
                <w:tab w:val="left" w:pos="0"/>
                <w:tab w:val="left" w:pos="450"/>
              </w:tabs>
              <w:rPr>
                <w:rFonts w:asciiTheme="majorHAnsi" w:hAnsiTheme="majorHAnsi"/>
                <w:szCs w:val="22"/>
              </w:rPr>
            </w:pPr>
          </w:p>
        </w:tc>
        <w:tc>
          <w:tcPr>
            <w:tcW w:w="8280" w:type="dxa"/>
          </w:tcPr>
          <w:p w:rsidR="005A218A" w:rsidRPr="00394E01" w:rsidRDefault="00622AF9" w:rsidP="00622AF9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lastRenderedPageBreak/>
              <w:t xml:space="preserve">Dr. Khoury shared a draft of his opinion piece on pgen testing; there appears to be a difference of opinion on levels of evidence need for implementation between EGAPP and CPIC. Also, EGAPP has created a survey; we should examine and decide if CPIC should write a response. </w:t>
            </w:r>
          </w:p>
          <w:p w:rsidR="005A218A" w:rsidRPr="00394E01" w:rsidRDefault="005A218A" w:rsidP="005A218A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590E72" w:rsidRPr="00394E01" w:rsidRDefault="00590E72" w:rsidP="005A218A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F53BCB" w:rsidRPr="00394E01" w:rsidRDefault="00F53BCB" w:rsidP="005A218A">
            <w:pPr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Rachel reported:</w:t>
            </w: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o</w:t>
            </w:r>
            <w:r w:rsidRPr="00394E01">
              <w:rPr>
                <w:rFonts w:asciiTheme="majorHAnsi" w:hAnsiTheme="majorHAnsi"/>
                <w:szCs w:val="22"/>
              </w:rPr>
              <w:tab/>
              <w:t>CPIC guidelines are generating commentary (both solicited and unsolicited) within CPT</w:t>
            </w: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o</w:t>
            </w:r>
            <w:r w:rsidRPr="00394E01">
              <w:rPr>
                <w:rFonts w:asciiTheme="majorHAnsi" w:hAnsiTheme="majorHAnsi"/>
                <w:szCs w:val="22"/>
              </w:rPr>
              <w:tab/>
              <w:t xml:space="preserve">It would be helpful to have ideas for commentary authors as (or before) guidelines are submitted </w:t>
            </w: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It was asked if CPT’s policy is to invite responses from authors for commentaries and letters; generally, authors will be given the chance to respond to letters written in response to their pieces, but not necessarily to commentaries written to accompany their pieces.</w:t>
            </w: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Main manuscript may be no more than 3,000 words, up to 40 references, and 3 tables or figures.  Additional material will go in supplement.</w:t>
            </w: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81548F">
            <w:pPr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997F39">
            <w:pPr>
              <w:ind w:left="720"/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B352C5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Pdf of correspondence from GTR to Rochelle was attached to agenda; CPIC offered to review summaries for GTR.</w:t>
            </w:r>
          </w:p>
          <w:p w:rsidR="0081548F" w:rsidRPr="00394E01" w:rsidRDefault="0081548F" w:rsidP="00B352C5">
            <w:pPr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876B79">
            <w:pPr>
              <w:widowControl/>
              <w:spacing w:after="200" w:line="276" w:lineRule="auto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Susan Leckband reported that the group is working slowly. Call planned for next week.  Format for summarizing HLA locus still not settled.</w:t>
            </w:r>
          </w:p>
          <w:p w:rsidR="00876B79" w:rsidRPr="00394E01" w:rsidRDefault="00876B79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876B79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Draft sent to all of CPIC -- Would appreciate comments/feedback. Allow time to include more opinions outside of CPIC. As for all guidelines, some revisions may be to the level to include individuals as co-authors (this was experience with TPMT)</w:t>
            </w:r>
            <w:r w:rsidR="00946402" w:rsidRPr="00394E01">
              <w:rPr>
                <w:rFonts w:asciiTheme="majorHAnsi" w:hAnsiTheme="majorHAnsi"/>
                <w:szCs w:val="22"/>
              </w:rPr>
              <w:t>. A</w:t>
            </w:r>
            <w:r w:rsidRPr="00394E01">
              <w:rPr>
                <w:rFonts w:asciiTheme="majorHAnsi" w:hAnsiTheme="majorHAnsi"/>
                <w:szCs w:val="22"/>
              </w:rPr>
              <w:t>lso, sending to other clinicians for review</w:t>
            </w:r>
            <w:r w:rsidR="00946402" w:rsidRPr="00394E01">
              <w:rPr>
                <w:rFonts w:asciiTheme="majorHAnsi" w:hAnsiTheme="majorHAnsi"/>
                <w:szCs w:val="22"/>
              </w:rPr>
              <w:t>. Dr. Kroetz’s summary of HLA locus can serve as starting point for feedback on next Tuesday’s HLA call.</w:t>
            </w:r>
          </w:p>
          <w:p w:rsidR="00876B79" w:rsidRPr="00394E01" w:rsidRDefault="00876B79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46402" w:rsidRPr="00394E01" w:rsidRDefault="00946402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46402" w:rsidRPr="00394E01" w:rsidRDefault="00946402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46402" w:rsidRPr="00394E01" w:rsidRDefault="00946402" w:rsidP="00946402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As feedback came on CYP2D6/codeine guideline drafts, questions exist on what analgesic alternatives to suggest for PMs and UMs.</w:t>
            </w:r>
          </w:p>
          <w:p w:rsidR="00946402" w:rsidRPr="00394E01" w:rsidRDefault="00946402" w:rsidP="00946402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-</w:t>
            </w:r>
            <w:r w:rsidRPr="00394E01">
              <w:rPr>
                <w:rFonts w:asciiTheme="majorHAnsi" w:hAnsiTheme="majorHAnsi"/>
                <w:szCs w:val="22"/>
              </w:rPr>
              <w:tab/>
              <w:t>See Table 2 in latest draft</w:t>
            </w:r>
          </w:p>
          <w:p w:rsidR="00946402" w:rsidRPr="00394E01" w:rsidRDefault="00946402" w:rsidP="00946402">
            <w:pPr>
              <w:widowControl/>
              <w:rPr>
                <w:rFonts w:asciiTheme="majorHAnsi" w:hAnsiTheme="majorHAnsi"/>
                <w:szCs w:val="22"/>
              </w:rPr>
            </w:pPr>
            <w:proofErr w:type="gramStart"/>
            <w:r w:rsidRPr="00394E01">
              <w:rPr>
                <w:rFonts w:asciiTheme="majorHAnsi" w:hAnsiTheme="majorHAnsi"/>
                <w:szCs w:val="22"/>
              </w:rPr>
              <w:t>o</w:t>
            </w:r>
            <w:proofErr w:type="gramEnd"/>
            <w:r w:rsidRPr="00394E01">
              <w:rPr>
                <w:rFonts w:asciiTheme="majorHAnsi" w:hAnsiTheme="majorHAnsi"/>
                <w:szCs w:val="22"/>
              </w:rPr>
              <w:tab/>
              <w:t>Current language for PMs and UMs: Consider alternative analgesics such as morphine or a non-</w:t>
            </w:r>
            <w:r w:rsidR="00C86649" w:rsidRPr="00394E01">
              <w:rPr>
                <w:rFonts w:asciiTheme="majorHAnsi" w:hAnsiTheme="majorHAnsi"/>
                <w:szCs w:val="22"/>
              </w:rPr>
              <w:t>opioid</w:t>
            </w:r>
            <w:r w:rsidRPr="00394E01">
              <w:rPr>
                <w:rFonts w:asciiTheme="majorHAnsi" w:hAnsiTheme="majorHAnsi"/>
                <w:szCs w:val="22"/>
              </w:rPr>
              <w:t xml:space="preserve"> but not hydrocodone, oxycodone, or tramadol .</w:t>
            </w:r>
          </w:p>
          <w:p w:rsidR="00946402" w:rsidRPr="00394E01" w:rsidRDefault="00946402" w:rsidP="00946402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o</w:t>
            </w:r>
            <w:r w:rsidRPr="00394E01">
              <w:rPr>
                <w:rFonts w:asciiTheme="majorHAnsi" w:hAnsiTheme="majorHAnsi"/>
                <w:szCs w:val="22"/>
              </w:rPr>
              <w:tab/>
              <w:t>Group discussed that there is most data for tramadol and CYP2D6; data for oxycodone and hydrocodone data are lighter, more controversial</w:t>
            </w:r>
          </w:p>
          <w:p w:rsidR="00946402" w:rsidRPr="00394E01" w:rsidRDefault="00946402" w:rsidP="00946402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o</w:t>
            </w:r>
            <w:r w:rsidRPr="00394E01">
              <w:rPr>
                <w:rFonts w:asciiTheme="majorHAnsi" w:hAnsiTheme="majorHAnsi"/>
                <w:szCs w:val="22"/>
              </w:rPr>
              <w:tab/>
              <w:t xml:space="preserve">Group agreed it will be important to provide alternatives in Table 2 - Can expand on this in the text, but important that table is clear as many readers will look mostly at the table </w:t>
            </w:r>
          </w:p>
          <w:p w:rsidR="00946402" w:rsidRPr="00394E01" w:rsidRDefault="00946402" w:rsidP="00946402">
            <w:pPr>
              <w:widowControl/>
              <w:rPr>
                <w:rFonts w:asciiTheme="majorHAnsi" w:hAnsiTheme="majorHAnsi"/>
                <w:szCs w:val="22"/>
              </w:rPr>
            </w:pPr>
            <w:proofErr w:type="gramStart"/>
            <w:r w:rsidRPr="00394E01">
              <w:rPr>
                <w:rFonts w:asciiTheme="majorHAnsi" w:hAnsiTheme="majorHAnsi"/>
                <w:szCs w:val="22"/>
              </w:rPr>
              <w:t>o</w:t>
            </w:r>
            <w:proofErr w:type="gramEnd"/>
            <w:r w:rsidRPr="00394E01">
              <w:rPr>
                <w:rFonts w:asciiTheme="majorHAnsi" w:hAnsiTheme="majorHAnsi"/>
                <w:szCs w:val="22"/>
              </w:rPr>
              <w:tab/>
              <w:t>Suggested language for UMs: Consider alternative analgesics such as morphine or a non-</w:t>
            </w:r>
            <w:r w:rsidR="00C86649" w:rsidRPr="00394E01">
              <w:rPr>
                <w:rFonts w:asciiTheme="majorHAnsi" w:hAnsiTheme="majorHAnsi"/>
                <w:szCs w:val="22"/>
              </w:rPr>
              <w:t>opioid</w:t>
            </w:r>
            <w:r w:rsidRPr="00394E01">
              <w:rPr>
                <w:rFonts w:asciiTheme="majorHAnsi" w:hAnsiTheme="majorHAnsi"/>
                <w:szCs w:val="22"/>
              </w:rPr>
              <w:t>. Avoid tramadol and use hydrocodone and oxycodone with caution.</w:t>
            </w:r>
          </w:p>
          <w:p w:rsidR="00946402" w:rsidRPr="00394E01" w:rsidRDefault="00946402" w:rsidP="00946402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This is another example of the importance of broad review of the guidelines as these questions only came up in review by others.</w:t>
            </w:r>
          </w:p>
          <w:p w:rsidR="00946402" w:rsidRPr="00394E01" w:rsidRDefault="00946402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46402" w:rsidRPr="00394E01" w:rsidRDefault="00946402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09054A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Clopidogrel is published.</w:t>
            </w:r>
          </w:p>
          <w:p w:rsidR="0009054A" w:rsidRPr="00394E01" w:rsidRDefault="0009054A" w:rsidP="0009054A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09054A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Minor revisions to warfarin guideline submitted to CPT.</w:t>
            </w:r>
          </w:p>
          <w:p w:rsidR="0009054A" w:rsidRPr="00394E01" w:rsidRDefault="0009054A" w:rsidP="0009054A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394E01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 xml:space="preserve">Some conversations about need for RCT before implementation </w:t>
            </w:r>
            <w:proofErr w:type="gramStart"/>
            <w:r w:rsidRPr="00394E01">
              <w:rPr>
                <w:rFonts w:asciiTheme="majorHAnsi" w:hAnsiTheme="majorHAnsi"/>
                <w:szCs w:val="22"/>
              </w:rPr>
              <w:t>is</w:t>
            </w:r>
            <w:proofErr w:type="gramEnd"/>
            <w:r w:rsidRPr="00394E01">
              <w:rPr>
                <w:rFonts w:asciiTheme="majorHAnsi" w:hAnsiTheme="majorHAnsi"/>
                <w:szCs w:val="22"/>
              </w:rPr>
              <w:t xml:space="preserve"> accepted. Only prospective RCT ongoing that group was aware of is clopidogrel and warfarin. Other source of info is </w:t>
            </w:r>
            <w:proofErr w:type="gramStart"/>
            <w:r w:rsidRPr="00394E01">
              <w:rPr>
                <w:rFonts w:asciiTheme="majorHAnsi" w:hAnsiTheme="majorHAnsi"/>
                <w:szCs w:val="22"/>
              </w:rPr>
              <w:t>clinicaltrials.gov .</w:t>
            </w:r>
            <w:proofErr w:type="gramEnd"/>
            <w:r w:rsidRPr="00394E01">
              <w:rPr>
                <w:rFonts w:asciiTheme="majorHAnsi" w:hAnsiTheme="majorHAnsi"/>
                <w:szCs w:val="22"/>
              </w:rPr>
              <w:t xml:space="preserve"> But discussion that RCTs aren’t really feasible in many cases and that many guidelines have  recommendations that aren’t backed by RCTs; discussed the possibility of CPIC members and others joining with TPP </w:t>
            </w:r>
            <w:r w:rsidRPr="00394E01">
              <w:rPr>
                <w:rFonts w:asciiTheme="majorHAnsi" w:hAnsiTheme="majorHAnsi"/>
                <w:szCs w:val="22"/>
              </w:rPr>
              <w:lastRenderedPageBreak/>
              <w:t xml:space="preserve">initiative to create a practice-based pgen research network. This approach may be more feasible if data are sent to one location </w:t>
            </w:r>
          </w:p>
          <w:p w:rsidR="0009054A" w:rsidRPr="00394E01" w:rsidRDefault="0009054A" w:rsidP="0009054A">
            <w:pPr>
              <w:pStyle w:val="ListParagraph"/>
              <w:widowControl/>
              <w:numPr>
                <w:ilvl w:val="1"/>
                <w:numId w:val="44"/>
              </w:numPr>
              <w:spacing w:after="200" w:line="276" w:lineRule="auto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 xml:space="preserve">PBRN for pharmacogenetics? </w:t>
            </w:r>
          </w:p>
          <w:p w:rsidR="0009054A" w:rsidRPr="00394E01" w:rsidRDefault="0009054A" w:rsidP="0009054A">
            <w:pPr>
              <w:pStyle w:val="ListParagraph"/>
              <w:widowControl/>
              <w:numPr>
                <w:ilvl w:val="1"/>
                <w:numId w:val="44"/>
              </w:numPr>
              <w:spacing w:after="200" w:line="276" w:lineRule="auto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 xml:space="preserve">Careful retrospective analysis could be compelling and give answers over time; </w:t>
            </w:r>
          </w:p>
          <w:p w:rsidR="0009054A" w:rsidRPr="00394E01" w:rsidRDefault="0009054A" w:rsidP="0009054A">
            <w:pPr>
              <w:pStyle w:val="ListParagraph"/>
              <w:widowControl/>
              <w:numPr>
                <w:ilvl w:val="1"/>
                <w:numId w:val="44"/>
              </w:numPr>
              <w:spacing w:after="200" w:line="276" w:lineRule="auto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TPP could be a starting point for such an effort – NIH interested in expanding TPP</w:t>
            </w:r>
          </w:p>
          <w:p w:rsidR="0009054A" w:rsidRPr="00394E01" w:rsidRDefault="0009054A" w:rsidP="0009054A">
            <w:pPr>
              <w:pStyle w:val="ListParagraph"/>
              <w:widowControl/>
              <w:numPr>
                <w:ilvl w:val="1"/>
                <w:numId w:val="44"/>
              </w:numPr>
              <w:spacing w:after="200" w:line="276" w:lineRule="auto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 xml:space="preserve">Can be discussed at next TPP </w:t>
            </w:r>
          </w:p>
          <w:p w:rsidR="0009054A" w:rsidRPr="00394E01" w:rsidRDefault="00394E01" w:rsidP="00394E01">
            <w:pPr>
              <w:widowControl/>
              <w:spacing w:after="200" w:line="276" w:lineRule="auto"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D</w:t>
            </w:r>
            <w:r w:rsidR="0009054A" w:rsidRPr="00394E01">
              <w:rPr>
                <w:rFonts w:asciiTheme="majorHAnsi" w:hAnsiTheme="majorHAnsi"/>
                <w:szCs w:val="22"/>
              </w:rPr>
              <w:t>iscussion on how to track outcomes of pgen implementation – f</w:t>
            </w:r>
            <w:r w:rsidR="00C86649">
              <w:rPr>
                <w:rFonts w:asciiTheme="majorHAnsi" w:hAnsiTheme="majorHAnsi"/>
                <w:szCs w:val="22"/>
              </w:rPr>
              <w:t>uture area for more CPIC work.</w:t>
            </w:r>
          </w:p>
          <w:p w:rsidR="00946402" w:rsidRPr="00394E01" w:rsidRDefault="00946402" w:rsidP="001A5696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B352C5">
            <w:pPr>
              <w:ind w:left="360"/>
              <w:rPr>
                <w:rFonts w:asciiTheme="majorHAnsi" w:hAnsiTheme="majorHAnsi"/>
                <w:szCs w:val="22"/>
              </w:rPr>
            </w:pPr>
          </w:p>
          <w:p w:rsidR="00C538B5" w:rsidRPr="00394E01" w:rsidRDefault="0009054A" w:rsidP="00C538B5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Cancelled for August.</w:t>
            </w:r>
          </w:p>
          <w:p w:rsidR="00590E72" w:rsidRPr="00394E01" w:rsidRDefault="00590E72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97F39" w:rsidRPr="00394E01" w:rsidRDefault="00997F39" w:rsidP="00B352C5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46402" w:rsidRPr="00394E01" w:rsidRDefault="00946402" w:rsidP="00C538B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946402" w:rsidRPr="00394E01" w:rsidRDefault="00946402" w:rsidP="00C538B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60151A" w:rsidRPr="00394E01" w:rsidRDefault="0060151A" w:rsidP="0009054A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</w:tcPr>
          <w:p w:rsidR="005E6335" w:rsidRPr="00394E01" w:rsidRDefault="00622AF9" w:rsidP="005F6406">
            <w:pPr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lastRenderedPageBreak/>
              <w:t xml:space="preserve">There may be an EGAPP this fall to which CPIC members will be invited---possibly with the October PGRN meeting. </w:t>
            </w:r>
          </w:p>
          <w:p w:rsidR="00622AF9" w:rsidRPr="00394E01" w:rsidRDefault="00622AF9" w:rsidP="005F6406">
            <w:pPr>
              <w:rPr>
                <w:rFonts w:asciiTheme="majorHAnsi" w:hAnsiTheme="majorHAnsi"/>
                <w:szCs w:val="22"/>
              </w:rPr>
            </w:pPr>
          </w:p>
          <w:p w:rsidR="00622AF9" w:rsidRPr="00394E01" w:rsidRDefault="00622AF9" w:rsidP="005F6406">
            <w:pPr>
              <w:rPr>
                <w:rFonts w:asciiTheme="majorHAnsi" w:hAnsiTheme="majorHAnsi"/>
                <w:szCs w:val="22"/>
              </w:rPr>
            </w:pPr>
          </w:p>
          <w:p w:rsidR="00622AF9" w:rsidRPr="00394E01" w:rsidRDefault="00622AF9" w:rsidP="005F6406">
            <w:pPr>
              <w:rPr>
                <w:rFonts w:asciiTheme="majorHAnsi" w:hAnsiTheme="majorHAnsi"/>
                <w:szCs w:val="22"/>
              </w:rPr>
            </w:pPr>
          </w:p>
          <w:p w:rsidR="00622AF9" w:rsidRPr="00394E01" w:rsidRDefault="00622AF9" w:rsidP="005F6406">
            <w:pPr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81548F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994156" w:rsidRPr="00394E01" w:rsidRDefault="0081548F" w:rsidP="0081548F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Authors of guidelines who have ideas for commentaries should send ideas to Rachel before submission of their guideline.</w:t>
            </w:r>
          </w:p>
          <w:p w:rsidR="00994156" w:rsidRPr="00394E01" w:rsidRDefault="00994156" w:rsidP="005F6406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994156" w:rsidRPr="00394E01" w:rsidRDefault="00994156" w:rsidP="005F6406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994156" w:rsidRPr="00394E01" w:rsidRDefault="00994156" w:rsidP="005F6406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151A" w:rsidRPr="00394E01" w:rsidRDefault="0060151A" w:rsidP="005F6406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60151A" w:rsidRPr="00394E01" w:rsidRDefault="0060151A" w:rsidP="005F6406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86649" w:rsidRDefault="00C86649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360653" w:rsidRPr="00394E01" w:rsidRDefault="0081548F" w:rsidP="00360653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Will incorporate this info into guideline template/SOP.</w:t>
            </w:r>
          </w:p>
          <w:p w:rsidR="0081548F" w:rsidRPr="00394E01" w:rsidRDefault="0081548F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360653" w:rsidRPr="00394E01" w:rsidRDefault="00360653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360653" w:rsidRPr="00394E01" w:rsidRDefault="00360653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360653" w:rsidRPr="00394E01" w:rsidRDefault="0081548F" w:rsidP="00360653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Awaiting GTR queries.</w:t>
            </w:r>
          </w:p>
          <w:p w:rsidR="0081548F" w:rsidRPr="00394E01" w:rsidRDefault="0081548F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1548F" w:rsidRPr="00394E01" w:rsidRDefault="0081548F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360653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 xml:space="preserve">All interested in working on HLA-based guidelines should join call; email Mary or Teri if interested. </w:t>
            </w:r>
          </w:p>
          <w:p w:rsidR="00876B79" w:rsidRPr="00394E01" w:rsidRDefault="00876B79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AE09E8" w:rsidRPr="00394E01" w:rsidRDefault="00AE09E8" w:rsidP="00360653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876B79">
            <w:pPr>
              <w:widowControl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Deadline f</w:t>
            </w:r>
            <w:r w:rsidR="00946402" w:rsidRPr="00394E01">
              <w:rPr>
                <w:rFonts w:asciiTheme="majorHAnsi" w:hAnsiTheme="majorHAnsi"/>
                <w:szCs w:val="22"/>
              </w:rPr>
              <w:t xml:space="preserve">or comments within CPIC July 15. </w:t>
            </w:r>
          </w:p>
          <w:p w:rsidR="00876B79" w:rsidRPr="00394E01" w:rsidRDefault="00876B79" w:rsidP="00876B79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876B79" w:rsidRPr="00394E01" w:rsidRDefault="00876B79" w:rsidP="00876B79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B352C5" w:rsidRPr="00394E01" w:rsidRDefault="00B352C5" w:rsidP="00B352C5">
            <w:pPr>
              <w:widowControl/>
              <w:ind w:left="60"/>
              <w:rPr>
                <w:rFonts w:asciiTheme="majorHAnsi" w:hAnsiTheme="majorHAnsi"/>
                <w:szCs w:val="22"/>
              </w:rPr>
            </w:pPr>
          </w:p>
          <w:p w:rsidR="00C538B5" w:rsidRPr="00394E01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538B5" w:rsidRPr="00394E01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538B5" w:rsidRPr="00394E01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538B5" w:rsidRPr="00394E01" w:rsidRDefault="00946402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Dr. Crews et al will incorporate suggestions on alternatives and possibly expand authorship.</w:t>
            </w:r>
          </w:p>
          <w:p w:rsidR="00946402" w:rsidRPr="00394E01" w:rsidRDefault="00946402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538B5" w:rsidRPr="00394E01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538B5" w:rsidRPr="00394E01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538B5" w:rsidRPr="00394E01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538B5" w:rsidRPr="00394E01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86649" w:rsidRDefault="00C86649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None needed.</w:t>
            </w:r>
          </w:p>
          <w:p w:rsidR="00C86649" w:rsidRDefault="00C86649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86649" w:rsidRDefault="00C86649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86649" w:rsidRDefault="00C86649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86649" w:rsidRDefault="00C86649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CPIC members interested in doing more in this area should contact Mary or Teri; names given to Dr. Shuldiner and TPP group.</w:t>
            </w: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394E01" w:rsidRPr="00394E01" w:rsidRDefault="00394E01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C86649" w:rsidRDefault="00C86649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</w:p>
          <w:p w:rsidR="0009054A" w:rsidRPr="00394E01" w:rsidRDefault="0009054A" w:rsidP="00AE09E8">
            <w:pPr>
              <w:widowControl/>
              <w:spacing w:before="100" w:beforeAutospacing="1" w:after="100" w:afterAutospacing="1"/>
              <w:contextualSpacing/>
              <w:rPr>
                <w:rFonts w:asciiTheme="majorHAnsi" w:hAnsiTheme="majorHAnsi"/>
                <w:szCs w:val="22"/>
              </w:rPr>
            </w:pPr>
            <w:r w:rsidRPr="00394E01">
              <w:rPr>
                <w:rFonts w:asciiTheme="majorHAnsi" w:hAnsiTheme="majorHAnsi"/>
                <w:szCs w:val="22"/>
              </w:rPr>
              <w:t>Next call September 1</w:t>
            </w:r>
            <w:r w:rsidRPr="00394E01">
              <w:rPr>
                <w:rFonts w:asciiTheme="majorHAnsi" w:hAnsiTheme="majorHAnsi"/>
                <w:szCs w:val="22"/>
                <w:vertAlign w:val="superscript"/>
              </w:rPr>
              <w:t>st</w:t>
            </w:r>
            <w:r w:rsidRPr="00394E01">
              <w:rPr>
                <w:rFonts w:asciiTheme="majorHAnsi" w:hAnsiTheme="majorHAnsi"/>
                <w:szCs w:val="22"/>
              </w:rPr>
              <w:t>.</w:t>
            </w:r>
          </w:p>
        </w:tc>
      </w:tr>
    </w:tbl>
    <w:p w:rsidR="00F34FE2" w:rsidRPr="00394E01" w:rsidRDefault="00F34FE2" w:rsidP="00D176EC">
      <w:pPr>
        <w:pStyle w:val="PlainText"/>
        <w:rPr>
          <w:rFonts w:asciiTheme="majorHAnsi" w:hAnsiTheme="majorHAnsi" w:cs="Times New Roman"/>
          <w:sz w:val="22"/>
          <w:szCs w:val="22"/>
        </w:rPr>
      </w:pPr>
    </w:p>
    <w:sectPr w:rsidR="00F34FE2" w:rsidRPr="00394E01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elp" w:date="2011-07-12T15:30:00Z" w:initials="h">
    <w:p w:rsidR="00C86649" w:rsidRDefault="00C86649">
      <w:pPr>
        <w:pStyle w:val="CommentText"/>
      </w:pPr>
      <w:r>
        <w:rPr>
          <w:rStyle w:val="CommentReference"/>
        </w:rPr>
        <w:annotationRef/>
      </w:r>
      <w:r>
        <w:t>Pls update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49" w:rsidRDefault="00C86649" w:rsidP="00E00679">
      <w:r>
        <w:separator/>
      </w:r>
    </w:p>
  </w:endnote>
  <w:endnote w:type="continuationSeparator" w:id="0">
    <w:p w:rsidR="00C86649" w:rsidRDefault="00C86649" w:rsidP="00E0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49" w:rsidRDefault="00C86649" w:rsidP="00E00679">
      <w:r>
        <w:separator/>
      </w:r>
    </w:p>
  </w:footnote>
  <w:footnote w:type="continuationSeparator" w:id="0">
    <w:p w:rsidR="00C86649" w:rsidRDefault="00C86649" w:rsidP="00E0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1D7"/>
    <w:multiLevelType w:val="multilevel"/>
    <w:tmpl w:val="3E465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632E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51971"/>
    <w:multiLevelType w:val="hybridMultilevel"/>
    <w:tmpl w:val="48E2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2091A"/>
    <w:multiLevelType w:val="hybridMultilevel"/>
    <w:tmpl w:val="94DADD7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08765A46"/>
    <w:multiLevelType w:val="hybridMultilevel"/>
    <w:tmpl w:val="F16090DC"/>
    <w:lvl w:ilvl="0" w:tplc="2774D26C">
      <w:numFmt w:val="bullet"/>
      <w:lvlText w:val="-"/>
      <w:lvlJc w:val="left"/>
      <w:pPr>
        <w:ind w:left="108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10637A"/>
    <w:multiLevelType w:val="multilevel"/>
    <w:tmpl w:val="220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52921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522EE"/>
    <w:multiLevelType w:val="hybridMultilevel"/>
    <w:tmpl w:val="79A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C6E74"/>
    <w:multiLevelType w:val="hybridMultilevel"/>
    <w:tmpl w:val="4F7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F0B1B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A2E84"/>
    <w:multiLevelType w:val="hybridMultilevel"/>
    <w:tmpl w:val="826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7490E"/>
    <w:multiLevelType w:val="hybridMultilevel"/>
    <w:tmpl w:val="12C43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3DE66BE"/>
    <w:multiLevelType w:val="multilevel"/>
    <w:tmpl w:val="FA7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4204B"/>
    <w:multiLevelType w:val="multilevel"/>
    <w:tmpl w:val="4634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443CB"/>
    <w:multiLevelType w:val="multilevel"/>
    <w:tmpl w:val="2D3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633922"/>
    <w:multiLevelType w:val="hybridMultilevel"/>
    <w:tmpl w:val="435A5858"/>
    <w:lvl w:ilvl="0" w:tplc="5168733C">
      <w:numFmt w:val="bullet"/>
      <w:lvlText w:val="-"/>
      <w:lvlJc w:val="left"/>
      <w:pPr>
        <w:ind w:left="465" w:hanging="360"/>
      </w:pPr>
      <w:rPr>
        <w:rFonts w:ascii="Consolas" w:eastAsia="Times New Roman" w:hAnsi="Consola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253D3BFC"/>
    <w:multiLevelType w:val="multilevel"/>
    <w:tmpl w:val="FEB87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36C7C"/>
    <w:multiLevelType w:val="hybridMultilevel"/>
    <w:tmpl w:val="47727448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8">
    <w:nsid w:val="265C3EAA"/>
    <w:multiLevelType w:val="multilevel"/>
    <w:tmpl w:val="87D22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D011AB"/>
    <w:multiLevelType w:val="hybridMultilevel"/>
    <w:tmpl w:val="DB1EABC8"/>
    <w:lvl w:ilvl="0" w:tplc="04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0">
    <w:nsid w:val="2B9D4F65"/>
    <w:multiLevelType w:val="hybridMultilevel"/>
    <w:tmpl w:val="FF38BB6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D55162"/>
    <w:multiLevelType w:val="hybridMultilevel"/>
    <w:tmpl w:val="BB5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93166"/>
    <w:multiLevelType w:val="hybridMultilevel"/>
    <w:tmpl w:val="24D44908"/>
    <w:lvl w:ilvl="0" w:tplc="768ECB26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4A55B0"/>
    <w:multiLevelType w:val="hybridMultilevel"/>
    <w:tmpl w:val="02E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E2A3B"/>
    <w:multiLevelType w:val="hybridMultilevel"/>
    <w:tmpl w:val="886C06FA"/>
    <w:lvl w:ilvl="0" w:tplc="EDFEE7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D2403F"/>
    <w:multiLevelType w:val="hybridMultilevel"/>
    <w:tmpl w:val="78DE678C"/>
    <w:lvl w:ilvl="0" w:tplc="F89631D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A6F84"/>
    <w:multiLevelType w:val="hybridMultilevel"/>
    <w:tmpl w:val="AF168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D1505F"/>
    <w:multiLevelType w:val="hybridMultilevel"/>
    <w:tmpl w:val="E46A78CE"/>
    <w:lvl w:ilvl="0" w:tplc="92DC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E32EE"/>
    <w:multiLevelType w:val="hybridMultilevel"/>
    <w:tmpl w:val="32A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F58BF"/>
    <w:multiLevelType w:val="hybridMultilevel"/>
    <w:tmpl w:val="E16ECAF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446D5C"/>
    <w:multiLevelType w:val="hybridMultilevel"/>
    <w:tmpl w:val="4E8A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F84D3E"/>
    <w:multiLevelType w:val="hybridMultilevel"/>
    <w:tmpl w:val="FD44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025101"/>
    <w:multiLevelType w:val="hybridMultilevel"/>
    <w:tmpl w:val="9D58ADA6"/>
    <w:lvl w:ilvl="0" w:tplc="EC422F5E">
      <w:start w:val="1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34213E"/>
    <w:multiLevelType w:val="hybridMultilevel"/>
    <w:tmpl w:val="1B70E530"/>
    <w:lvl w:ilvl="0" w:tplc="DAAECFB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C1CBD"/>
    <w:multiLevelType w:val="hybridMultilevel"/>
    <w:tmpl w:val="83C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E5BCF"/>
    <w:multiLevelType w:val="multilevel"/>
    <w:tmpl w:val="C0BC9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B0C05"/>
    <w:multiLevelType w:val="hybridMultilevel"/>
    <w:tmpl w:val="AA90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E2250B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B4264"/>
    <w:multiLevelType w:val="hybridMultilevel"/>
    <w:tmpl w:val="5D309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B83677"/>
    <w:multiLevelType w:val="hybridMultilevel"/>
    <w:tmpl w:val="78C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D3482"/>
    <w:multiLevelType w:val="hybridMultilevel"/>
    <w:tmpl w:val="1482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484188"/>
    <w:multiLevelType w:val="hybridMultilevel"/>
    <w:tmpl w:val="B880A422"/>
    <w:lvl w:ilvl="0" w:tplc="E5EAFD6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617B76"/>
    <w:multiLevelType w:val="hybridMultilevel"/>
    <w:tmpl w:val="D9705DC6"/>
    <w:lvl w:ilvl="0" w:tplc="A5F4072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A23CC"/>
    <w:multiLevelType w:val="hybridMultilevel"/>
    <w:tmpl w:val="EBC2F37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3"/>
  </w:num>
  <w:num w:numId="4">
    <w:abstractNumId w:val="30"/>
  </w:num>
  <w:num w:numId="5">
    <w:abstractNumId w:val="34"/>
  </w:num>
  <w:num w:numId="6">
    <w:abstractNumId w:val="2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6"/>
  </w:num>
  <w:num w:numId="13">
    <w:abstractNumId w:val="29"/>
  </w:num>
  <w:num w:numId="14">
    <w:abstractNumId w:val="4"/>
  </w:num>
  <w:num w:numId="15">
    <w:abstractNumId w:val="3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4"/>
  </w:num>
  <w:num w:numId="28">
    <w:abstractNumId w:val="37"/>
  </w:num>
  <w:num w:numId="29">
    <w:abstractNumId w:val="32"/>
  </w:num>
  <w:num w:numId="30">
    <w:abstractNumId w:val="22"/>
  </w:num>
  <w:num w:numId="31">
    <w:abstractNumId w:val="8"/>
  </w:num>
  <w:num w:numId="32">
    <w:abstractNumId w:val="39"/>
  </w:num>
  <w:num w:numId="33">
    <w:abstractNumId w:val="23"/>
  </w:num>
  <w:num w:numId="34">
    <w:abstractNumId w:val="25"/>
  </w:num>
  <w:num w:numId="35">
    <w:abstractNumId w:val="3"/>
  </w:num>
  <w:num w:numId="36">
    <w:abstractNumId w:val="31"/>
  </w:num>
  <w:num w:numId="37">
    <w:abstractNumId w:val="40"/>
  </w:num>
  <w:num w:numId="38">
    <w:abstractNumId w:val="2"/>
  </w:num>
  <w:num w:numId="39">
    <w:abstractNumId w:val="36"/>
  </w:num>
  <w:num w:numId="40">
    <w:abstractNumId w:val="19"/>
  </w:num>
  <w:num w:numId="41">
    <w:abstractNumId w:val="17"/>
  </w:num>
  <w:num w:numId="42">
    <w:abstractNumId w:val="43"/>
  </w:num>
  <w:num w:numId="43">
    <w:abstractNumId w:val="1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2723"/>
    <w:rsid w:val="00000655"/>
    <w:rsid w:val="00006B63"/>
    <w:rsid w:val="00013AB5"/>
    <w:rsid w:val="0002505E"/>
    <w:rsid w:val="0002732C"/>
    <w:rsid w:val="00071849"/>
    <w:rsid w:val="0009054A"/>
    <w:rsid w:val="00097667"/>
    <w:rsid w:val="00097EB1"/>
    <w:rsid w:val="000A4E1A"/>
    <w:rsid w:val="000B290E"/>
    <w:rsid w:val="000D538E"/>
    <w:rsid w:val="000E6969"/>
    <w:rsid w:val="000F4F38"/>
    <w:rsid w:val="00113D3C"/>
    <w:rsid w:val="0011696D"/>
    <w:rsid w:val="00120327"/>
    <w:rsid w:val="001203FD"/>
    <w:rsid w:val="001260F5"/>
    <w:rsid w:val="001275C0"/>
    <w:rsid w:val="00132EE0"/>
    <w:rsid w:val="001576EA"/>
    <w:rsid w:val="00167896"/>
    <w:rsid w:val="001810E5"/>
    <w:rsid w:val="001A118A"/>
    <w:rsid w:val="001A5696"/>
    <w:rsid w:val="001B036D"/>
    <w:rsid w:val="001D19CE"/>
    <w:rsid w:val="00210C5C"/>
    <w:rsid w:val="00212DFE"/>
    <w:rsid w:val="00231D27"/>
    <w:rsid w:val="002344B6"/>
    <w:rsid w:val="0023623B"/>
    <w:rsid w:val="0023788C"/>
    <w:rsid w:val="00241ADC"/>
    <w:rsid w:val="00246A2E"/>
    <w:rsid w:val="00247AB2"/>
    <w:rsid w:val="0025356F"/>
    <w:rsid w:val="00260076"/>
    <w:rsid w:val="00260B34"/>
    <w:rsid w:val="00271A9C"/>
    <w:rsid w:val="00277E00"/>
    <w:rsid w:val="00284CC1"/>
    <w:rsid w:val="002A4D8C"/>
    <w:rsid w:val="002C49CD"/>
    <w:rsid w:val="002E4B90"/>
    <w:rsid w:val="002F0507"/>
    <w:rsid w:val="00333E31"/>
    <w:rsid w:val="0033416E"/>
    <w:rsid w:val="0034265E"/>
    <w:rsid w:val="0034571B"/>
    <w:rsid w:val="00360653"/>
    <w:rsid w:val="003725F7"/>
    <w:rsid w:val="00372987"/>
    <w:rsid w:val="0037358B"/>
    <w:rsid w:val="00376FFA"/>
    <w:rsid w:val="0038667B"/>
    <w:rsid w:val="00394558"/>
    <w:rsid w:val="00394E01"/>
    <w:rsid w:val="003A3C7F"/>
    <w:rsid w:val="003A6D91"/>
    <w:rsid w:val="003B2081"/>
    <w:rsid w:val="003C6E3A"/>
    <w:rsid w:val="003F641E"/>
    <w:rsid w:val="00402704"/>
    <w:rsid w:val="004037A8"/>
    <w:rsid w:val="00412BAD"/>
    <w:rsid w:val="004154E2"/>
    <w:rsid w:val="004170EC"/>
    <w:rsid w:val="00440382"/>
    <w:rsid w:val="00445D26"/>
    <w:rsid w:val="00461127"/>
    <w:rsid w:val="00477418"/>
    <w:rsid w:val="00490568"/>
    <w:rsid w:val="004A3A57"/>
    <w:rsid w:val="004A5DEB"/>
    <w:rsid w:val="004B5764"/>
    <w:rsid w:val="004D4E60"/>
    <w:rsid w:val="004E04C6"/>
    <w:rsid w:val="004E2E8E"/>
    <w:rsid w:val="004E689A"/>
    <w:rsid w:val="005021D3"/>
    <w:rsid w:val="00523768"/>
    <w:rsid w:val="005364CB"/>
    <w:rsid w:val="00537ACC"/>
    <w:rsid w:val="005639D7"/>
    <w:rsid w:val="00571ED4"/>
    <w:rsid w:val="0057505A"/>
    <w:rsid w:val="00580E5F"/>
    <w:rsid w:val="00580FEF"/>
    <w:rsid w:val="00590E72"/>
    <w:rsid w:val="00593949"/>
    <w:rsid w:val="005A218A"/>
    <w:rsid w:val="005A564D"/>
    <w:rsid w:val="005A7E37"/>
    <w:rsid w:val="005B3DCC"/>
    <w:rsid w:val="005B4621"/>
    <w:rsid w:val="005B4C3B"/>
    <w:rsid w:val="005C0860"/>
    <w:rsid w:val="005E2723"/>
    <w:rsid w:val="005E6335"/>
    <w:rsid w:val="005F6406"/>
    <w:rsid w:val="0060151A"/>
    <w:rsid w:val="00612211"/>
    <w:rsid w:val="00614A73"/>
    <w:rsid w:val="00620B4B"/>
    <w:rsid w:val="00622AF9"/>
    <w:rsid w:val="006353E6"/>
    <w:rsid w:val="00662EEF"/>
    <w:rsid w:val="0067768F"/>
    <w:rsid w:val="00683E8A"/>
    <w:rsid w:val="00695A95"/>
    <w:rsid w:val="0069742A"/>
    <w:rsid w:val="006A3925"/>
    <w:rsid w:val="006B0E66"/>
    <w:rsid w:val="006B1EF8"/>
    <w:rsid w:val="006E6D2E"/>
    <w:rsid w:val="00700E35"/>
    <w:rsid w:val="00706062"/>
    <w:rsid w:val="00736048"/>
    <w:rsid w:val="00740994"/>
    <w:rsid w:val="0076225E"/>
    <w:rsid w:val="007942AE"/>
    <w:rsid w:val="007E1843"/>
    <w:rsid w:val="007E446E"/>
    <w:rsid w:val="007F3F3A"/>
    <w:rsid w:val="00805851"/>
    <w:rsid w:val="0081548F"/>
    <w:rsid w:val="00816E4D"/>
    <w:rsid w:val="008353EA"/>
    <w:rsid w:val="008439EC"/>
    <w:rsid w:val="00843B6A"/>
    <w:rsid w:val="00845007"/>
    <w:rsid w:val="0087385A"/>
    <w:rsid w:val="00876B79"/>
    <w:rsid w:val="00880B0B"/>
    <w:rsid w:val="00890D18"/>
    <w:rsid w:val="008A200A"/>
    <w:rsid w:val="008A55A8"/>
    <w:rsid w:val="008C4A65"/>
    <w:rsid w:val="008F0614"/>
    <w:rsid w:val="009219ED"/>
    <w:rsid w:val="009234DE"/>
    <w:rsid w:val="009256E2"/>
    <w:rsid w:val="00944FD6"/>
    <w:rsid w:val="00946402"/>
    <w:rsid w:val="00964673"/>
    <w:rsid w:val="00981CB6"/>
    <w:rsid w:val="00983774"/>
    <w:rsid w:val="00994156"/>
    <w:rsid w:val="00997F39"/>
    <w:rsid w:val="009A520D"/>
    <w:rsid w:val="009A7516"/>
    <w:rsid w:val="009D7EB6"/>
    <w:rsid w:val="00A326FF"/>
    <w:rsid w:val="00A36B4C"/>
    <w:rsid w:val="00A41A98"/>
    <w:rsid w:val="00A46308"/>
    <w:rsid w:val="00A51341"/>
    <w:rsid w:val="00A612DB"/>
    <w:rsid w:val="00A67343"/>
    <w:rsid w:val="00A73FEA"/>
    <w:rsid w:val="00AB6965"/>
    <w:rsid w:val="00AD0FBB"/>
    <w:rsid w:val="00AD14AB"/>
    <w:rsid w:val="00AD4382"/>
    <w:rsid w:val="00AE09E8"/>
    <w:rsid w:val="00AE4D0B"/>
    <w:rsid w:val="00AF21C8"/>
    <w:rsid w:val="00B212AC"/>
    <w:rsid w:val="00B352C5"/>
    <w:rsid w:val="00B457F1"/>
    <w:rsid w:val="00B47B24"/>
    <w:rsid w:val="00B567CD"/>
    <w:rsid w:val="00B74E84"/>
    <w:rsid w:val="00B91359"/>
    <w:rsid w:val="00BA29F1"/>
    <w:rsid w:val="00BE110E"/>
    <w:rsid w:val="00C17171"/>
    <w:rsid w:val="00C25B09"/>
    <w:rsid w:val="00C4599D"/>
    <w:rsid w:val="00C538B5"/>
    <w:rsid w:val="00C70CAA"/>
    <w:rsid w:val="00C7700A"/>
    <w:rsid w:val="00C855DA"/>
    <w:rsid w:val="00C86649"/>
    <w:rsid w:val="00CA43E4"/>
    <w:rsid w:val="00CF2234"/>
    <w:rsid w:val="00CF5CCB"/>
    <w:rsid w:val="00D072AC"/>
    <w:rsid w:val="00D176EC"/>
    <w:rsid w:val="00D318CC"/>
    <w:rsid w:val="00D4679D"/>
    <w:rsid w:val="00D53A59"/>
    <w:rsid w:val="00D60E2E"/>
    <w:rsid w:val="00D6179C"/>
    <w:rsid w:val="00D64A36"/>
    <w:rsid w:val="00D732BB"/>
    <w:rsid w:val="00D82D23"/>
    <w:rsid w:val="00DA13D0"/>
    <w:rsid w:val="00DE5CF4"/>
    <w:rsid w:val="00DF27D3"/>
    <w:rsid w:val="00E00679"/>
    <w:rsid w:val="00E07683"/>
    <w:rsid w:val="00E15E43"/>
    <w:rsid w:val="00E446F4"/>
    <w:rsid w:val="00E52420"/>
    <w:rsid w:val="00E55262"/>
    <w:rsid w:val="00E64B2B"/>
    <w:rsid w:val="00EB56B7"/>
    <w:rsid w:val="00EB58EC"/>
    <w:rsid w:val="00EC2B3F"/>
    <w:rsid w:val="00EC5D33"/>
    <w:rsid w:val="00EE5EDB"/>
    <w:rsid w:val="00F146AA"/>
    <w:rsid w:val="00F32800"/>
    <w:rsid w:val="00F34FE2"/>
    <w:rsid w:val="00F415AB"/>
    <w:rsid w:val="00F41A9B"/>
    <w:rsid w:val="00F53BCB"/>
    <w:rsid w:val="00F61213"/>
    <w:rsid w:val="00F63D20"/>
    <w:rsid w:val="00F657C2"/>
    <w:rsid w:val="00F66DE5"/>
    <w:rsid w:val="00F93BAA"/>
    <w:rsid w:val="00FB7593"/>
    <w:rsid w:val="00FD03E8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769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help</cp:lastModifiedBy>
  <cp:revision>3</cp:revision>
  <cp:lastPrinted>2010-01-08T17:43:00Z</cp:lastPrinted>
  <dcterms:created xsi:type="dcterms:W3CDTF">2011-07-12T20:36:00Z</dcterms:created>
  <dcterms:modified xsi:type="dcterms:W3CDTF">2011-07-12T21:22:00Z</dcterms:modified>
</cp:coreProperties>
</file>