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MINUTES</w:t>
      </w:r>
    </w:p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 CONFERENCE CALL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:rsidR="00EA2223" w:rsidRDefault="00EA2223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D4320">
        <w:rPr>
          <w:rFonts w:asciiTheme="majorHAnsi" w:hAnsiTheme="majorHAnsi"/>
          <w:szCs w:val="22"/>
        </w:rPr>
        <w:t>DATE:</w:t>
      </w:r>
      <w:r w:rsidRPr="003D4320">
        <w:rPr>
          <w:rFonts w:asciiTheme="majorHAnsi" w:hAnsiTheme="majorHAnsi"/>
          <w:szCs w:val="22"/>
        </w:rPr>
        <w:tab/>
      </w:r>
      <w:r w:rsidR="00E16D26">
        <w:rPr>
          <w:rFonts w:asciiTheme="majorHAnsi" w:hAnsiTheme="majorHAnsi"/>
          <w:szCs w:val="22"/>
        </w:rPr>
        <w:t>June 5</w:t>
      </w:r>
      <w:r w:rsidR="00F265DC">
        <w:rPr>
          <w:rFonts w:asciiTheme="majorHAnsi" w:hAnsiTheme="majorHAnsi"/>
          <w:szCs w:val="22"/>
        </w:rPr>
        <w:t>,</w:t>
      </w:r>
      <w:r w:rsidR="006C749C">
        <w:rPr>
          <w:rFonts w:asciiTheme="majorHAnsi" w:hAnsiTheme="majorHAnsi"/>
          <w:szCs w:val="22"/>
        </w:rPr>
        <w:t xml:space="preserve"> 2014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7290"/>
        <w:gridCol w:w="4304"/>
      </w:tblGrid>
      <w:tr w:rsidR="009735AD" w:rsidRPr="0029562D">
        <w:trPr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ED336A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36A" w:rsidRPr="0029562D" w:rsidRDefault="00E16D26" w:rsidP="006E518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Ivacaftor guideline updated on PharmGKB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B09" w:rsidRPr="0029562D" w:rsidRDefault="00E16D26" w:rsidP="00E16D26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Since the publication of the CPIC </w:t>
            </w:r>
            <w:r w:rsidRPr="00E16D26">
              <w:rPr>
                <w:rFonts w:asciiTheme="majorHAnsi" w:hAnsiTheme="majorHAnsi"/>
                <w:i/>
                <w:szCs w:val="22"/>
              </w:rPr>
              <w:t>CFTR</w:t>
            </w:r>
            <w:r>
              <w:rPr>
                <w:rFonts w:asciiTheme="majorHAnsi" w:hAnsiTheme="majorHAnsi"/>
                <w:szCs w:val="22"/>
              </w:rPr>
              <w:t>-Ivacaftor guideline, t</w:t>
            </w:r>
            <w:r w:rsidRPr="00B9725D">
              <w:rPr>
                <w:rFonts w:asciiTheme="majorHAnsi" w:hAnsiTheme="majorHAnsi"/>
                <w:szCs w:val="22"/>
              </w:rPr>
              <w:t xml:space="preserve">he indication section of the FDA-approved label for ivacaftor has been amended to include more </w:t>
            </w:r>
            <w:r w:rsidRPr="00E16D26">
              <w:rPr>
                <w:rFonts w:asciiTheme="majorHAnsi" w:hAnsiTheme="majorHAnsi"/>
                <w:i/>
                <w:szCs w:val="22"/>
              </w:rPr>
              <w:t>CFTR</w:t>
            </w:r>
            <w:r w:rsidRPr="00B9725D">
              <w:rPr>
                <w:rFonts w:asciiTheme="majorHAnsi" w:hAnsiTheme="majorHAnsi"/>
                <w:szCs w:val="22"/>
              </w:rPr>
              <w:t xml:space="preserve"> variants along with </w:t>
            </w:r>
            <w:r w:rsidRPr="00E16D26">
              <w:rPr>
                <w:rFonts w:asciiTheme="majorHAnsi" w:hAnsiTheme="majorHAnsi"/>
                <w:i/>
                <w:szCs w:val="22"/>
              </w:rPr>
              <w:t>G551D</w:t>
            </w:r>
            <w:r>
              <w:rPr>
                <w:rFonts w:asciiTheme="majorHAnsi" w:hAnsiTheme="majorHAnsi"/>
                <w:szCs w:val="22"/>
              </w:rPr>
              <w:t>. The guideline authors agreed to update this guid</w:t>
            </w:r>
            <w:r w:rsidR="00D423BF">
              <w:rPr>
                <w:rFonts w:asciiTheme="majorHAnsi" w:hAnsiTheme="majorHAnsi"/>
                <w:szCs w:val="22"/>
              </w:rPr>
              <w:t>eline on PharmGKB to include</w:t>
            </w:r>
            <w:r>
              <w:rPr>
                <w:rFonts w:asciiTheme="majorHAnsi" w:hAnsiTheme="majorHAnsi"/>
                <w:szCs w:val="22"/>
              </w:rPr>
              <w:t xml:space="preserve"> these additional variants but with a ‘moderate’ recommendation (FDA recommendation based on unpublished studies). The interactive dosing, recommendation table and figure have been updated </w:t>
            </w:r>
            <w:r w:rsidR="00D423BF">
              <w:rPr>
                <w:rFonts w:asciiTheme="majorHAnsi" w:hAnsiTheme="majorHAnsi"/>
                <w:szCs w:val="22"/>
              </w:rPr>
              <w:t xml:space="preserve">on PharmGKB </w:t>
            </w:r>
            <w:r>
              <w:rPr>
                <w:rFonts w:asciiTheme="majorHAnsi" w:hAnsiTheme="majorHAnsi"/>
                <w:szCs w:val="22"/>
              </w:rPr>
              <w:t>(</w:t>
            </w:r>
            <w:r w:rsidRPr="00E16D26">
              <w:rPr>
                <w:rFonts w:asciiTheme="majorHAnsi" w:hAnsiTheme="majorHAnsi"/>
                <w:szCs w:val="22"/>
              </w:rPr>
              <w:t>http://www.pharmgkb.org/drug/PA165950341</w:t>
            </w:r>
            <w:r>
              <w:rPr>
                <w:rFonts w:asciiTheme="majorHAnsi" w:hAnsiTheme="majorHAnsi"/>
                <w:szCs w:val="22"/>
              </w:rPr>
              <w:t>).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36A" w:rsidRPr="0029562D" w:rsidRDefault="00F256E3" w:rsidP="008706BE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None needed.</w:t>
            </w:r>
          </w:p>
        </w:tc>
      </w:tr>
      <w:tr w:rsidR="00A9197A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97A" w:rsidRPr="0029562D" w:rsidRDefault="008B18D0" w:rsidP="0034505C">
            <w:pPr>
              <w:widowControl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Pgx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nomenclature project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97A" w:rsidRPr="0029562D" w:rsidRDefault="009E3F07" w:rsidP="00F256E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Mary gave a brief overview of a pharmacogenetics</w:t>
            </w:r>
            <w:r w:rsidR="008321C2">
              <w:rPr>
                <w:rFonts w:asciiTheme="majorHAnsi" w:hAnsiTheme="majorHAnsi"/>
                <w:szCs w:val="22"/>
              </w:rPr>
              <w:t xml:space="preserve"> (</w:t>
            </w:r>
            <w:proofErr w:type="spellStart"/>
            <w:r w:rsidR="008321C2">
              <w:rPr>
                <w:rFonts w:asciiTheme="majorHAnsi" w:hAnsiTheme="majorHAnsi"/>
                <w:szCs w:val="22"/>
              </w:rPr>
              <w:t>pgx</w:t>
            </w:r>
            <w:proofErr w:type="spellEnd"/>
            <w:r w:rsidR="008321C2">
              <w:rPr>
                <w:rFonts w:asciiTheme="majorHAnsi" w:hAnsiTheme="majorHAnsi"/>
                <w:szCs w:val="22"/>
              </w:rPr>
              <w:t>)</w:t>
            </w:r>
            <w:r>
              <w:rPr>
                <w:rFonts w:asciiTheme="majorHAnsi" w:hAnsiTheme="majorHAnsi"/>
                <w:szCs w:val="22"/>
              </w:rPr>
              <w:t xml:space="preserve"> nomenclature project being led by Lisa </w:t>
            </w:r>
            <w:proofErr w:type="spellStart"/>
            <w:r>
              <w:rPr>
                <w:rFonts w:asciiTheme="majorHAnsi" w:hAnsiTheme="majorHAnsi"/>
                <w:szCs w:val="22"/>
              </w:rPr>
              <w:t>Kalman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from the CDC who coordinates the CDC’s Genetic Testing Reference Material Coordination Program (</w:t>
            </w:r>
            <w:proofErr w:type="spellStart"/>
            <w:r>
              <w:rPr>
                <w:rFonts w:asciiTheme="majorHAnsi" w:hAnsiTheme="majorHAnsi"/>
                <w:szCs w:val="22"/>
              </w:rPr>
              <w:t>GeT</w:t>
            </w:r>
            <w:proofErr w:type="spellEnd"/>
            <w:r>
              <w:rPr>
                <w:rFonts w:asciiTheme="majorHAnsi" w:hAnsiTheme="majorHAnsi"/>
                <w:szCs w:val="22"/>
              </w:rPr>
              <w:t>-RM)</w:t>
            </w:r>
            <w:r w:rsidR="00C1206C">
              <w:rPr>
                <w:rFonts w:asciiTheme="majorHAnsi" w:hAnsiTheme="majorHAnsi"/>
                <w:szCs w:val="22"/>
              </w:rPr>
              <w:t xml:space="preserve"> (</w:t>
            </w:r>
            <w:r w:rsidR="00C1206C" w:rsidRPr="00C1206C">
              <w:rPr>
                <w:rFonts w:asciiTheme="majorHAnsi" w:hAnsiTheme="majorHAnsi"/>
                <w:szCs w:val="22"/>
              </w:rPr>
              <w:t>http://wwwn.cdc.gov/clia/Resources/GetRM/default.aspx</w:t>
            </w:r>
            <w:r w:rsidR="00C1206C">
              <w:rPr>
                <w:rFonts w:asciiTheme="majorHAnsi" w:hAnsiTheme="majorHAnsi"/>
                <w:szCs w:val="22"/>
              </w:rPr>
              <w:t>)</w:t>
            </w:r>
            <w:r>
              <w:rPr>
                <w:rFonts w:asciiTheme="majorHAnsi" w:hAnsiTheme="majorHAnsi"/>
                <w:szCs w:val="22"/>
              </w:rPr>
              <w:t xml:space="preserve">. The purpose of </w:t>
            </w:r>
            <w:proofErr w:type="spellStart"/>
            <w:r>
              <w:rPr>
                <w:rFonts w:asciiTheme="majorHAnsi" w:hAnsiTheme="majorHAnsi"/>
                <w:szCs w:val="22"/>
              </w:rPr>
              <w:t>GeT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-RM is to facilitate the development and characterization of genomic DNA for materials for genetic testing. One </w:t>
            </w:r>
            <w:proofErr w:type="spellStart"/>
            <w:r>
              <w:rPr>
                <w:rFonts w:asciiTheme="majorHAnsi" w:hAnsiTheme="majorHAnsi"/>
                <w:szCs w:val="22"/>
              </w:rPr>
              <w:t>GeT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-RM project is to characterize 137 genomic DNA samples in 9 labs for over 200 </w:t>
            </w:r>
            <w:proofErr w:type="spellStart"/>
            <w:r>
              <w:rPr>
                <w:rFonts w:asciiTheme="majorHAnsi" w:hAnsiTheme="majorHAnsi"/>
                <w:szCs w:val="22"/>
              </w:rPr>
              <w:t>pgx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genes using a variety of platforms. However, because of nomenclature issues </w:t>
            </w:r>
            <w:r w:rsidR="00524902">
              <w:rPr>
                <w:rFonts w:asciiTheme="majorHAnsi" w:hAnsiTheme="majorHAnsi"/>
                <w:szCs w:val="22"/>
              </w:rPr>
              <w:t xml:space="preserve">(e.g., labs use different nomenclature system, genotypes called from different strands, ref </w:t>
            </w:r>
            <w:proofErr w:type="spellStart"/>
            <w:r w:rsidR="00524902">
              <w:rPr>
                <w:rFonts w:asciiTheme="majorHAnsi" w:hAnsiTheme="majorHAnsi"/>
                <w:szCs w:val="22"/>
              </w:rPr>
              <w:t>seqs</w:t>
            </w:r>
            <w:proofErr w:type="spellEnd"/>
            <w:r w:rsidR="00524902">
              <w:rPr>
                <w:rFonts w:asciiTheme="majorHAnsi" w:hAnsiTheme="majorHAnsi"/>
                <w:szCs w:val="22"/>
              </w:rPr>
              <w:t xml:space="preserve"> can be different because labs not using the Human Reference Assembly) </w:t>
            </w:r>
            <w:r>
              <w:rPr>
                <w:rFonts w:asciiTheme="majorHAnsi" w:hAnsiTheme="majorHAnsi"/>
                <w:szCs w:val="22"/>
              </w:rPr>
              <w:t>and differences in assays (e.g., not all assays test for same SNPs resulting in incons</w:t>
            </w:r>
            <w:r w:rsidR="00524902">
              <w:rPr>
                <w:rFonts w:asciiTheme="majorHAnsi" w:hAnsiTheme="majorHAnsi"/>
                <w:szCs w:val="22"/>
              </w:rPr>
              <w:t>istent assignment of haplotype)</w:t>
            </w:r>
            <w:r>
              <w:rPr>
                <w:rFonts w:asciiTheme="majorHAnsi" w:hAnsiTheme="majorHAnsi"/>
                <w:szCs w:val="22"/>
              </w:rPr>
              <w:t xml:space="preserve"> it has been very difficult to compare results between assays and identify a common genotype for the samples. </w:t>
            </w:r>
            <w:r w:rsidR="00C1206C">
              <w:rPr>
                <w:rFonts w:asciiTheme="majorHAnsi" w:hAnsiTheme="majorHAnsi"/>
                <w:szCs w:val="22"/>
              </w:rPr>
              <w:t>Lisa is organizing solutions to these problems. To date, there have been two conference calls with a lot of feedback from participants (including several CPIC members and other “stakeholders”</w:t>
            </w:r>
            <w:r w:rsidR="00D947D2">
              <w:rPr>
                <w:rFonts w:asciiTheme="majorHAnsi" w:hAnsiTheme="majorHAnsi"/>
                <w:szCs w:val="22"/>
              </w:rPr>
              <w:t xml:space="preserve"> from NIH GTR, HGVS, ClinVar, etc.</w:t>
            </w:r>
            <w:r w:rsidR="00C1206C">
              <w:rPr>
                <w:rFonts w:asciiTheme="majorHAnsi" w:hAnsiTheme="majorHAnsi"/>
                <w:szCs w:val="22"/>
              </w:rPr>
              <w:t xml:space="preserve">). </w:t>
            </w:r>
            <w:r w:rsidR="008321C2">
              <w:rPr>
                <w:rFonts w:asciiTheme="majorHAnsi" w:hAnsiTheme="majorHAnsi"/>
                <w:szCs w:val="22"/>
              </w:rPr>
              <w:t>There are direct implications for CPIC. For example, CPIC guidelines define a * allele but do not list the minimum</w:t>
            </w:r>
            <w:r w:rsidR="008D0D87">
              <w:rPr>
                <w:rFonts w:asciiTheme="majorHAnsi" w:hAnsiTheme="majorHAnsi"/>
                <w:szCs w:val="22"/>
              </w:rPr>
              <w:t xml:space="preserve"> variants that should be tested. Discussed ACMG</w:t>
            </w:r>
            <w:r w:rsidR="00F256E3">
              <w:rPr>
                <w:rFonts w:asciiTheme="majorHAnsi" w:hAnsiTheme="majorHAnsi"/>
                <w:szCs w:val="22"/>
              </w:rPr>
              <w:t xml:space="preserve">’s Laboratory Quality Assurance Committee </w:t>
            </w:r>
            <w:bookmarkStart w:id="0" w:name="_GoBack"/>
            <w:bookmarkEnd w:id="0"/>
            <w:r w:rsidR="00F256E3">
              <w:rPr>
                <w:rFonts w:asciiTheme="majorHAnsi" w:hAnsiTheme="majorHAnsi"/>
                <w:szCs w:val="22"/>
              </w:rPr>
              <w:t xml:space="preserve">as a possible arbiter of such </w:t>
            </w:r>
            <w:proofErr w:type="spellStart"/>
            <w:r w:rsidR="00F256E3">
              <w:rPr>
                <w:rFonts w:asciiTheme="majorHAnsi" w:hAnsiTheme="majorHAnsi"/>
                <w:szCs w:val="22"/>
              </w:rPr>
              <w:t>standars</w:t>
            </w:r>
            <w:proofErr w:type="spellEnd"/>
            <w:r w:rsidR="00F256E3">
              <w:rPr>
                <w:rFonts w:asciiTheme="majorHAnsi" w:hAnsiTheme="majorHAnsi"/>
                <w:szCs w:val="22"/>
              </w:rPr>
              <w:t xml:space="preserve"> (see</w:t>
            </w:r>
            <w:r w:rsidR="008D0D87">
              <w:rPr>
                <w:rFonts w:asciiTheme="majorHAnsi" w:hAnsiTheme="majorHAnsi"/>
                <w:szCs w:val="22"/>
              </w:rPr>
              <w:t xml:space="preserve"> “</w:t>
            </w:r>
            <w:r w:rsidR="008D0D87" w:rsidRPr="008D0D87">
              <w:rPr>
                <w:rFonts w:asciiTheme="majorHAnsi" w:hAnsiTheme="majorHAnsi"/>
                <w:szCs w:val="22"/>
              </w:rPr>
              <w:t xml:space="preserve">Laboratory testing of CYP2D6 alleles in </w:t>
            </w:r>
            <w:proofErr w:type="spellStart"/>
            <w:r w:rsidR="008D0D87" w:rsidRPr="008D0D87">
              <w:rPr>
                <w:rFonts w:asciiTheme="majorHAnsi" w:hAnsiTheme="majorHAnsi"/>
                <w:szCs w:val="22"/>
              </w:rPr>
              <w:t>relationto</w:t>
            </w:r>
            <w:proofErr w:type="spellEnd"/>
            <w:r w:rsidR="008D0D87" w:rsidRPr="008D0D87"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 w:rsidR="008D0D87" w:rsidRPr="008D0D87">
              <w:rPr>
                <w:rFonts w:asciiTheme="majorHAnsi" w:hAnsiTheme="majorHAnsi"/>
                <w:szCs w:val="22"/>
              </w:rPr>
              <w:t>tamoxifen</w:t>
            </w:r>
            <w:proofErr w:type="spellEnd"/>
            <w:r w:rsidR="008D0D87" w:rsidRPr="008D0D87">
              <w:rPr>
                <w:rFonts w:asciiTheme="majorHAnsi" w:hAnsiTheme="majorHAnsi"/>
                <w:szCs w:val="22"/>
              </w:rPr>
              <w:t xml:space="preserve"> therapy</w:t>
            </w:r>
            <w:r w:rsidR="008D0D87">
              <w:rPr>
                <w:rFonts w:asciiTheme="majorHAnsi" w:hAnsiTheme="majorHAnsi"/>
                <w:szCs w:val="22"/>
              </w:rPr>
              <w:t xml:space="preserve">” (attached). </w:t>
            </w:r>
            <w:r w:rsidR="008321C2">
              <w:rPr>
                <w:rFonts w:asciiTheme="majorHAnsi" w:hAnsiTheme="majorHAnsi"/>
                <w:szCs w:val="22"/>
              </w:rPr>
              <w:t xml:space="preserve"> Next call scheduled for the week of June 16</w:t>
            </w:r>
            <w:r w:rsidR="008321C2" w:rsidRPr="008321C2">
              <w:rPr>
                <w:rFonts w:asciiTheme="majorHAnsi" w:hAnsiTheme="majorHAnsi"/>
                <w:szCs w:val="22"/>
                <w:vertAlign w:val="superscript"/>
              </w:rPr>
              <w:t>th</w:t>
            </w:r>
            <w:r w:rsidR="008321C2">
              <w:rPr>
                <w:rFonts w:asciiTheme="majorHAnsi" w:hAnsiTheme="majorHAnsi"/>
                <w:szCs w:val="22"/>
              </w:rPr>
              <w:t xml:space="preserve">. </w:t>
            </w:r>
            <w:r w:rsidR="00D423BF">
              <w:rPr>
                <w:rFonts w:asciiTheme="majorHAnsi" w:hAnsiTheme="majorHAnsi"/>
                <w:szCs w:val="22"/>
              </w:rPr>
              <w:t xml:space="preserve">Because each gene will likely have its own specific </w:t>
            </w:r>
            <w:r w:rsidR="00C339B8">
              <w:rPr>
                <w:rFonts w:asciiTheme="majorHAnsi" w:hAnsiTheme="majorHAnsi"/>
                <w:szCs w:val="22"/>
              </w:rPr>
              <w:t xml:space="preserve">nomenclature </w:t>
            </w:r>
            <w:r w:rsidR="00D423BF">
              <w:rPr>
                <w:rFonts w:asciiTheme="majorHAnsi" w:hAnsiTheme="majorHAnsi"/>
                <w:szCs w:val="22"/>
              </w:rPr>
              <w:t>issues, g</w:t>
            </w:r>
            <w:r w:rsidR="008321C2">
              <w:rPr>
                <w:rFonts w:asciiTheme="majorHAnsi" w:hAnsiTheme="majorHAnsi"/>
                <w:szCs w:val="22"/>
              </w:rPr>
              <w:t xml:space="preserve">ene specific expertise needed. Please email Lisa </w:t>
            </w:r>
            <w:proofErr w:type="spellStart"/>
            <w:r w:rsidR="008321C2">
              <w:rPr>
                <w:rFonts w:asciiTheme="majorHAnsi" w:hAnsiTheme="majorHAnsi"/>
                <w:szCs w:val="22"/>
              </w:rPr>
              <w:t>Kalman</w:t>
            </w:r>
            <w:proofErr w:type="spellEnd"/>
            <w:r w:rsidR="008321C2">
              <w:rPr>
                <w:rFonts w:asciiTheme="majorHAnsi" w:hAnsiTheme="majorHAnsi"/>
                <w:szCs w:val="22"/>
              </w:rPr>
              <w:t xml:space="preserve"> (</w:t>
            </w:r>
            <w:hyperlink r:id="rId8" w:history="1">
              <w:r w:rsidR="008321C2" w:rsidRPr="00E12E30">
                <w:rPr>
                  <w:rStyle w:val="Hyperlink"/>
                  <w:rFonts w:asciiTheme="majorHAnsi" w:hAnsiTheme="majorHAnsi"/>
                  <w:szCs w:val="22"/>
                </w:rPr>
                <w:t>ljk0@cdc.gov</w:t>
              </w:r>
            </w:hyperlink>
            <w:r w:rsidR="008321C2">
              <w:rPr>
                <w:rFonts w:asciiTheme="majorHAnsi" w:hAnsiTheme="majorHAnsi"/>
                <w:szCs w:val="22"/>
              </w:rPr>
              <w:t>) if you are interested in participating or know individuals with gene-specific expertise</w:t>
            </w:r>
            <w:r w:rsidR="00F7253A">
              <w:rPr>
                <w:rFonts w:asciiTheme="majorHAnsi" w:hAnsiTheme="majorHAnsi"/>
                <w:szCs w:val="22"/>
              </w:rPr>
              <w:t xml:space="preserve"> who may want to participate</w:t>
            </w:r>
            <w:r w:rsidR="008321C2">
              <w:rPr>
                <w:rFonts w:asciiTheme="majorHAnsi" w:hAnsiTheme="majorHAnsi"/>
                <w:szCs w:val="22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97A" w:rsidRPr="0029562D" w:rsidRDefault="008321C2" w:rsidP="009B5126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Mary/Kelly will follow-up on progress.</w:t>
            </w:r>
          </w:p>
        </w:tc>
      </w:tr>
      <w:tr w:rsidR="002076F8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6F8" w:rsidRPr="0029562D" w:rsidRDefault="004F6209" w:rsidP="004F620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Follow-up to r</w:t>
            </w:r>
            <w:r w:rsidRPr="0029562D">
              <w:rPr>
                <w:rFonts w:asciiTheme="majorHAnsi" w:hAnsiTheme="majorHAnsi"/>
                <w:szCs w:val="22"/>
              </w:rPr>
              <w:t>equest to work with ACMG on pharmacogenes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6F8" w:rsidRPr="0029562D" w:rsidRDefault="004F6209" w:rsidP="00F256E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In 2013, </w:t>
            </w:r>
            <w:r w:rsidRPr="0029562D">
              <w:rPr>
                <w:rFonts w:asciiTheme="majorHAnsi" w:hAnsiTheme="majorHAnsi"/>
                <w:szCs w:val="22"/>
              </w:rPr>
              <w:t>the ACMG published a policy statement on the disclosure of incidental findings from exome and genome sequencing and recommend</w:t>
            </w:r>
            <w:r w:rsidR="00F256E3">
              <w:rPr>
                <w:rFonts w:asciiTheme="majorHAnsi" w:hAnsiTheme="majorHAnsi"/>
                <w:szCs w:val="22"/>
              </w:rPr>
              <w:t xml:space="preserve">ed a set of </w:t>
            </w:r>
            <w:r w:rsidRPr="0029562D">
              <w:rPr>
                <w:rFonts w:asciiTheme="majorHAnsi" w:hAnsiTheme="majorHAnsi"/>
                <w:szCs w:val="22"/>
              </w:rPr>
              <w:t>report</w:t>
            </w:r>
            <w:r w:rsidR="00F256E3">
              <w:rPr>
                <w:rFonts w:asciiTheme="majorHAnsi" w:hAnsiTheme="majorHAnsi"/>
                <w:szCs w:val="22"/>
              </w:rPr>
              <w:t xml:space="preserve">able </w:t>
            </w:r>
            <w:r w:rsidRPr="0029562D">
              <w:rPr>
                <w:rFonts w:asciiTheme="majorHAnsi" w:hAnsiTheme="majorHAnsi"/>
                <w:szCs w:val="22"/>
              </w:rPr>
              <w:t>genes</w:t>
            </w:r>
            <w:proofErr w:type="gramStart"/>
            <w:r w:rsidRPr="0029562D">
              <w:rPr>
                <w:rFonts w:asciiTheme="majorHAnsi" w:hAnsiTheme="majorHAnsi"/>
                <w:szCs w:val="22"/>
              </w:rPr>
              <w:t>.</w:t>
            </w:r>
            <w:r w:rsidR="00F256E3">
              <w:t>[</w:t>
            </w:r>
            <w:proofErr w:type="gramEnd"/>
            <w:r w:rsidR="00F256E3" w:rsidRPr="00F256E3">
              <w:rPr>
                <w:rFonts w:asciiTheme="majorHAnsi" w:hAnsiTheme="majorHAnsi"/>
                <w:szCs w:val="22"/>
              </w:rPr>
              <w:t>PMID: 23788249</w:t>
            </w:r>
            <w:r w:rsidR="00F256E3">
              <w:rPr>
                <w:rFonts w:asciiTheme="majorHAnsi" w:hAnsiTheme="majorHAnsi"/>
                <w:szCs w:val="22"/>
              </w:rPr>
              <w:t>]</w:t>
            </w:r>
            <w:r w:rsidRPr="0029562D">
              <w:rPr>
                <w:rFonts w:asciiTheme="majorHAnsi" w:hAnsiTheme="majorHAnsi"/>
                <w:szCs w:val="22"/>
              </w:rPr>
              <w:t xml:space="preserve"> However, </w:t>
            </w:r>
            <w:r>
              <w:rPr>
                <w:rFonts w:asciiTheme="majorHAnsi" w:hAnsiTheme="majorHAnsi"/>
                <w:szCs w:val="22"/>
              </w:rPr>
              <w:t xml:space="preserve">the list largely excludes </w:t>
            </w:r>
            <w:r w:rsidRPr="0029562D">
              <w:rPr>
                <w:rFonts w:asciiTheme="majorHAnsi" w:hAnsiTheme="majorHAnsi"/>
                <w:szCs w:val="22"/>
              </w:rPr>
              <w:t xml:space="preserve">pharmacogenes. ACMG has also created a working group to discuss </w:t>
            </w:r>
            <w:r w:rsidR="00F256E3">
              <w:rPr>
                <w:rFonts w:asciiTheme="majorHAnsi" w:hAnsiTheme="majorHAnsi"/>
                <w:szCs w:val="22"/>
              </w:rPr>
              <w:t xml:space="preserve">procedures for </w:t>
            </w:r>
            <w:r w:rsidRPr="0029562D">
              <w:rPr>
                <w:rFonts w:asciiTheme="majorHAnsi" w:hAnsiTheme="majorHAnsi"/>
                <w:szCs w:val="22"/>
              </w:rPr>
              <w:t>recommend</w:t>
            </w:r>
            <w:r w:rsidR="00F256E3">
              <w:rPr>
                <w:rFonts w:asciiTheme="majorHAnsi" w:hAnsiTheme="majorHAnsi"/>
                <w:szCs w:val="22"/>
              </w:rPr>
              <w:t>ing</w:t>
            </w:r>
            <w:r w:rsidRPr="0029562D">
              <w:rPr>
                <w:rFonts w:asciiTheme="majorHAnsi" w:hAnsiTheme="majorHAnsi"/>
                <w:szCs w:val="22"/>
              </w:rPr>
              <w:t xml:space="preserve"> additional </w:t>
            </w:r>
            <w:r w:rsidR="00F256E3">
              <w:rPr>
                <w:rFonts w:asciiTheme="majorHAnsi" w:hAnsiTheme="majorHAnsi"/>
                <w:szCs w:val="22"/>
              </w:rPr>
              <w:t>genes.</w:t>
            </w:r>
            <w:r w:rsidRPr="0029562D">
              <w:rPr>
                <w:rFonts w:asciiTheme="majorHAnsi" w:hAnsiTheme="majorHAnsi"/>
                <w:szCs w:val="22"/>
              </w:rPr>
              <w:t xml:space="preserve"> </w:t>
            </w:r>
            <w:r w:rsidR="00734AC9">
              <w:rPr>
                <w:rFonts w:asciiTheme="majorHAnsi" w:hAnsiTheme="majorHAnsi"/>
                <w:szCs w:val="22"/>
              </w:rPr>
              <w:t>CPIC leadership sent a letter encouraging ACMG to include more pharmacogenes and volunteered to be a part of this working group</w:t>
            </w:r>
            <w:r w:rsidR="00F256E3">
              <w:rPr>
                <w:rFonts w:asciiTheme="majorHAnsi" w:hAnsiTheme="majorHAnsi"/>
                <w:szCs w:val="22"/>
              </w:rPr>
              <w:t xml:space="preserve">, and </w:t>
            </w:r>
            <w:r w:rsidR="00734AC9">
              <w:rPr>
                <w:rFonts w:asciiTheme="majorHAnsi" w:hAnsiTheme="majorHAnsi"/>
                <w:szCs w:val="22"/>
              </w:rPr>
              <w:t xml:space="preserve">ACMG </w:t>
            </w:r>
            <w:r w:rsidR="00F256E3">
              <w:rPr>
                <w:rFonts w:asciiTheme="majorHAnsi" w:hAnsiTheme="majorHAnsi"/>
                <w:szCs w:val="22"/>
              </w:rPr>
              <w:t xml:space="preserve">responded with interest.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6F8" w:rsidRPr="0029562D" w:rsidRDefault="00734AC9" w:rsidP="002076F8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Mary will follow-up on progress.</w:t>
            </w:r>
          </w:p>
        </w:tc>
      </w:tr>
      <w:tr w:rsidR="009E153F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53F" w:rsidRPr="0029562D" w:rsidRDefault="00096544" w:rsidP="0096350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ASCPT endorsement of CPIC guidelines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53F" w:rsidRPr="0029562D" w:rsidRDefault="00F3583E" w:rsidP="005F2591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ASCPT has agreed to endorse </w:t>
            </w:r>
            <w:r w:rsidR="00C339B8">
              <w:rPr>
                <w:rFonts w:asciiTheme="majorHAnsi" w:hAnsiTheme="majorHAnsi"/>
                <w:szCs w:val="22"/>
              </w:rPr>
              <w:t xml:space="preserve">the </w:t>
            </w:r>
            <w:r>
              <w:rPr>
                <w:rFonts w:asciiTheme="majorHAnsi" w:hAnsiTheme="majorHAnsi"/>
                <w:szCs w:val="22"/>
              </w:rPr>
              <w:t xml:space="preserve">CPIC </w:t>
            </w:r>
            <w:r w:rsidR="00D71045">
              <w:rPr>
                <w:rFonts w:asciiTheme="majorHAnsi" w:hAnsiTheme="majorHAnsi"/>
                <w:szCs w:val="22"/>
              </w:rPr>
              <w:t>guideline development process. T</w:t>
            </w:r>
            <w:r w:rsidR="00D71045" w:rsidRPr="00D71045">
              <w:rPr>
                <w:rFonts w:asciiTheme="majorHAnsi" w:hAnsiTheme="majorHAnsi"/>
                <w:szCs w:val="22"/>
              </w:rPr>
              <w:t xml:space="preserve">he ASCPT Board will evaluate each individual CPIC guideline for relevance to the scientific interests of its members, and will consider endorsing each of these on a case by case basis. 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53F" w:rsidRPr="0029562D" w:rsidRDefault="00D71045" w:rsidP="002076F8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follow-up on progress.</w:t>
            </w:r>
          </w:p>
        </w:tc>
      </w:tr>
      <w:tr w:rsidR="000F0438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438" w:rsidRPr="0029562D" w:rsidRDefault="000F0438" w:rsidP="0096350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Informatics working group update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438" w:rsidRDefault="00470901" w:rsidP="00470901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 w:rsidR="009B5D6A">
              <w:rPr>
                <w:rFonts w:asciiTheme="majorHAnsi" w:hAnsiTheme="majorHAnsi"/>
                <w:szCs w:val="22"/>
              </w:rPr>
              <w:t>Working group finalized</w:t>
            </w:r>
            <w:r w:rsidR="00C339B8">
              <w:rPr>
                <w:rFonts w:asciiTheme="majorHAnsi" w:hAnsiTheme="majorHAnsi"/>
                <w:szCs w:val="22"/>
              </w:rPr>
              <w:t xml:space="preserve"> implementation</w:t>
            </w:r>
            <w:r w:rsidR="009B5D6A">
              <w:rPr>
                <w:rFonts w:asciiTheme="majorHAnsi" w:hAnsiTheme="majorHAnsi"/>
                <w:szCs w:val="22"/>
              </w:rPr>
              <w:t xml:space="preserve"> workflow diagrams and tables that </w:t>
            </w:r>
            <w:r w:rsidR="009B5D6A" w:rsidRPr="0029562D">
              <w:rPr>
                <w:rFonts w:asciiTheme="majorHAnsi" w:hAnsiTheme="majorHAnsi"/>
                <w:szCs w:val="22"/>
              </w:rPr>
              <w:t xml:space="preserve">combine both </w:t>
            </w:r>
            <w:r w:rsidR="009B5D6A" w:rsidRPr="0029562D">
              <w:rPr>
                <w:rFonts w:asciiTheme="majorHAnsi" w:hAnsiTheme="majorHAnsi"/>
                <w:i/>
                <w:szCs w:val="22"/>
              </w:rPr>
              <w:t>CYP2C9</w:t>
            </w:r>
            <w:r w:rsidR="009B5D6A" w:rsidRPr="0029562D">
              <w:rPr>
                <w:rFonts w:asciiTheme="majorHAnsi" w:hAnsiTheme="majorHAnsi"/>
                <w:szCs w:val="22"/>
              </w:rPr>
              <w:t xml:space="preserve"> and </w:t>
            </w:r>
            <w:r w:rsidR="009B5D6A" w:rsidRPr="0029562D">
              <w:rPr>
                <w:rFonts w:asciiTheme="majorHAnsi" w:hAnsiTheme="majorHAnsi"/>
                <w:i/>
                <w:szCs w:val="22"/>
              </w:rPr>
              <w:t>HLA-B</w:t>
            </w:r>
            <w:r w:rsidR="009B5D6A" w:rsidRPr="0029562D">
              <w:rPr>
                <w:rFonts w:asciiTheme="majorHAnsi" w:hAnsiTheme="majorHAnsi"/>
                <w:szCs w:val="22"/>
              </w:rPr>
              <w:t xml:space="preserve"> </w:t>
            </w:r>
            <w:r w:rsidR="009B5D6A">
              <w:rPr>
                <w:rFonts w:asciiTheme="majorHAnsi" w:hAnsiTheme="majorHAnsi"/>
                <w:szCs w:val="22"/>
              </w:rPr>
              <w:t xml:space="preserve">phenytoin </w:t>
            </w:r>
            <w:r w:rsidR="009B5D6A" w:rsidRPr="0029562D">
              <w:rPr>
                <w:rFonts w:asciiTheme="majorHAnsi" w:hAnsiTheme="majorHAnsi"/>
                <w:szCs w:val="22"/>
              </w:rPr>
              <w:t>recommendations (instead of two separate recommendations)</w:t>
            </w:r>
            <w:r w:rsidR="009B5D6A">
              <w:rPr>
                <w:rFonts w:asciiTheme="majorHAnsi" w:hAnsiTheme="majorHAnsi"/>
                <w:szCs w:val="22"/>
              </w:rPr>
              <w:t>. Circulated to CPIC members for review. Guideline will be submitted this week.</w:t>
            </w:r>
          </w:p>
          <w:p w:rsidR="00470901" w:rsidRDefault="00470901" w:rsidP="00470901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-Informatics working group continues to work on translation tables for upcoming guidelines and guideline updates.</w:t>
            </w:r>
          </w:p>
          <w:p w:rsidR="009B5D6A" w:rsidRPr="0029562D" w:rsidRDefault="009B5D6A" w:rsidP="009B5D6A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 w:rsidRPr="009B5D6A">
              <w:rPr>
                <w:rFonts w:asciiTheme="majorHAnsi" w:hAnsiTheme="majorHAnsi"/>
                <w:szCs w:val="22"/>
              </w:rPr>
              <w:t xml:space="preserve">HL7 is starting to pay attention to pharmacogenetics and CPIC informatics leaders are evaluating </w:t>
            </w:r>
            <w:r>
              <w:rPr>
                <w:rFonts w:asciiTheme="majorHAnsi" w:hAnsiTheme="majorHAnsi"/>
                <w:szCs w:val="22"/>
              </w:rPr>
              <w:t>how CPIC can fit into this.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438" w:rsidRPr="0029562D" w:rsidRDefault="00470901" w:rsidP="002076F8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James, Michelle, and Bob will continue to update CPIC group on progress.</w:t>
            </w:r>
          </w:p>
        </w:tc>
      </w:tr>
      <w:tr w:rsidR="00096544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544" w:rsidRDefault="00096544" w:rsidP="0096350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Updates to CPIC authorship guidelines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F07" w:rsidRPr="00C0417F" w:rsidRDefault="00067F07" w:rsidP="00067F07">
            <w:pPr>
              <w:rPr>
                <w:rFonts w:asciiTheme="majorHAnsi" w:hAnsiTheme="majorHAnsi"/>
                <w:szCs w:val="24"/>
              </w:rPr>
            </w:pPr>
            <w:r w:rsidRPr="00C0417F">
              <w:rPr>
                <w:rFonts w:asciiTheme="majorHAnsi" w:hAnsiTheme="majorHAnsi"/>
                <w:szCs w:val="24"/>
              </w:rPr>
              <w:t>Changes being considered for CPIC authorship guidelines:</w:t>
            </w:r>
          </w:p>
          <w:p w:rsidR="00067F07" w:rsidRPr="00C0417F" w:rsidRDefault="00067F07" w:rsidP="00067F07">
            <w:pPr>
              <w:widowControl/>
              <w:numPr>
                <w:ilvl w:val="0"/>
                <w:numId w:val="26"/>
              </w:numPr>
              <w:rPr>
                <w:rFonts w:asciiTheme="majorHAnsi" w:hAnsiTheme="majorHAnsi"/>
                <w:szCs w:val="24"/>
              </w:rPr>
            </w:pPr>
            <w:r w:rsidRPr="00C0417F">
              <w:rPr>
                <w:rFonts w:asciiTheme="majorHAnsi" w:hAnsiTheme="majorHAnsi"/>
                <w:szCs w:val="24"/>
              </w:rPr>
              <w:t xml:space="preserve">Add that </w:t>
            </w:r>
            <w:proofErr w:type="gramStart"/>
            <w:r w:rsidRPr="00C0417F">
              <w:rPr>
                <w:rFonts w:asciiTheme="majorHAnsi" w:hAnsiTheme="majorHAnsi"/>
                <w:szCs w:val="24"/>
              </w:rPr>
              <w:t>COIs</w:t>
            </w:r>
            <w:proofErr w:type="gramEnd"/>
            <w:r w:rsidRPr="00C0417F">
              <w:rPr>
                <w:rFonts w:asciiTheme="majorHAnsi" w:hAnsiTheme="majorHAnsi"/>
                <w:szCs w:val="24"/>
              </w:rPr>
              <w:t xml:space="preserve"> due to employment by an entity in clear conflict will be considered problematic for authors.</w:t>
            </w:r>
          </w:p>
          <w:p w:rsidR="00067F07" w:rsidRPr="00C0417F" w:rsidRDefault="00067F07" w:rsidP="00067F07">
            <w:pPr>
              <w:widowControl/>
              <w:numPr>
                <w:ilvl w:val="0"/>
                <w:numId w:val="26"/>
              </w:numPr>
              <w:rPr>
                <w:rFonts w:asciiTheme="majorHAnsi" w:hAnsiTheme="majorHAnsi"/>
                <w:szCs w:val="24"/>
              </w:rPr>
            </w:pPr>
            <w:r w:rsidRPr="00C0417F">
              <w:rPr>
                <w:rFonts w:asciiTheme="majorHAnsi" w:hAnsiTheme="majorHAnsi"/>
                <w:szCs w:val="24"/>
              </w:rPr>
              <w:t>Start with draft of Table 2 to gauge consensus of the group; however, lack of prescribing recommendations does not preclude a guideline (can be level C).</w:t>
            </w:r>
          </w:p>
          <w:p w:rsidR="00067F07" w:rsidRPr="00C0417F" w:rsidRDefault="00067F07" w:rsidP="00067F07">
            <w:pPr>
              <w:widowControl/>
              <w:numPr>
                <w:ilvl w:val="0"/>
                <w:numId w:val="26"/>
              </w:numPr>
              <w:rPr>
                <w:rFonts w:asciiTheme="majorHAnsi" w:hAnsiTheme="majorHAnsi"/>
                <w:szCs w:val="24"/>
              </w:rPr>
            </w:pPr>
            <w:r w:rsidRPr="00C0417F">
              <w:rPr>
                <w:rFonts w:asciiTheme="majorHAnsi" w:hAnsiTheme="majorHAnsi"/>
                <w:szCs w:val="24"/>
              </w:rPr>
              <w:t xml:space="preserve">Add desirable characteristics for authorship: </w:t>
            </w:r>
          </w:p>
          <w:p w:rsidR="00067F07" w:rsidRPr="00C0417F" w:rsidRDefault="00067F07" w:rsidP="00067F07">
            <w:pPr>
              <w:widowControl/>
              <w:numPr>
                <w:ilvl w:val="1"/>
                <w:numId w:val="26"/>
              </w:numPr>
              <w:rPr>
                <w:rFonts w:asciiTheme="majorHAnsi" w:hAnsiTheme="majorHAnsi"/>
                <w:szCs w:val="24"/>
              </w:rPr>
            </w:pPr>
            <w:r w:rsidRPr="00C0417F">
              <w:rPr>
                <w:rFonts w:asciiTheme="majorHAnsi" w:hAnsiTheme="majorHAnsi"/>
                <w:szCs w:val="24"/>
              </w:rPr>
              <w:t>Include leaders in the specific CPIC topic</w:t>
            </w:r>
          </w:p>
          <w:p w:rsidR="00067F07" w:rsidRPr="00C0417F" w:rsidRDefault="00067F07" w:rsidP="00067F07">
            <w:pPr>
              <w:widowControl/>
              <w:numPr>
                <w:ilvl w:val="1"/>
                <w:numId w:val="26"/>
              </w:numPr>
              <w:rPr>
                <w:rFonts w:asciiTheme="majorHAnsi" w:hAnsiTheme="majorHAnsi"/>
                <w:szCs w:val="24"/>
              </w:rPr>
            </w:pPr>
            <w:r w:rsidRPr="00C0417F">
              <w:rPr>
                <w:rFonts w:asciiTheme="majorHAnsi" w:hAnsiTheme="majorHAnsi"/>
                <w:szCs w:val="24"/>
              </w:rPr>
              <w:t>Importance of authorship that lends credibility to the prescribing recommendations</w:t>
            </w:r>
          </w:p>
          <w:p w:rsidR="00067F07" w:rsidRPr="00C0417F" w:rsidRDefault="00067F07" w:rsidP="00067F07">
            <w:pPr>
              <w:widowControl/>
              <w:numPr>
                <w:ilvl w:val="1"/>
                <w:numId w:val="26"/>
              </w:numPr>
              <w:rPr>
                <w:rFonts w:asciiTheme="majorHAnsi" w:hAnsiTheme="majorHAnsi"/>
                <w:szCs w:val="24"/>
              </w:rPr>
            </w:pPr>
            <w:r w:rsidRPr="00C0417F">
              <w:rPr>
                <w:rFonts w:asciiTheme="majorHAnsi" w:hAnsiTheme="majorHAnsi"/>
                <w:szCs w:val="24"/>
              </w:rPr>
              <w:t>international representation</w:t>
            </w:r>
          </w:p>
          <w:p w:rsidR="00067F07" w:rsidRPr="00C0417F" w:rsidRDefault="00067F07" w:rsidP="00067F07">
            <w:pPr>
              <w:widowControl/>
              <w:numPr>
                <w:ilvl w:val="1"/>
                <w:numId w:val="26"/>
              </w:numPr>
              <w:rPr>
                <w:rFonts w:asciiTheme="majorHAnsi" w:hAnsiTheme="majorHAnsi"/>
                <w:szCs w:val="24"/>
              </w:rPr>
            </w:pPr>
            <w:r w:rsidRPr="00C0417F">
              <w:rPr>
                <w:rFonts w:asciiTheme="majorHAnsi" w:hAnsiTheme="majorHAnsi"/>
                <w:szCs w:val="24"/>
              </w:rPr>
              <w:t>evidence of prior publications relevant to the gene, drug, disease state</w:t>
            </w:r>
          </w:p>
          <w:p w:rsidR="00067F07" w:rsidRPr="00C0417F" w:rsidRDefault="00067F07" w:rsidP="00067F07">
            <w:pPr>
              <w:widowControl/>
              <w:numPr>
                <w:ilvl w:val="1"/>
                <w:numId w:val="26"/>
              </w:numPr>
              <w:rPr>
                <w:rFonts w:asciiTheme="majorHAnsi" w:hAnsiTheme="majorHAnsi"/>
                <w:szCs w:val="24"/>
              </w:rPr>
            </w:pPr>
            <w:r w:rsidRPr="00C0417F">
              <w:rPr>
                <w:rFonts w:asciiTheme="majorHAnsi" w:hAnsiTheme="majorHAnsi"/>
                <w:szCs w:val="24"/>
              </w:rPr>
              <w:t>expertise in clinical pharmacogenetics</w:t>
            </w:r>
          </w:p>
          <w:p w:rsidR="00067F07" w:rsidRPr="00C0417F" w:rsidRDefault="00067F07" w:rsidP="00067F07">
            <w:pPr>
              <w:widowControl/>
              <w:numPr>
                <w:ilvl w:val="1"/>
                <w:numId w:val="26"/>
              </w:numPr>
              <w:rPr>
                <w:rFonts w:asciiTheme="majorHAnsi" w:hAnsiTheme="majorHAnsi"/>
                <w:szCs w:val="24"/>
              </w:rPr>
            </w:pPr>
            <w:r w:rsidRPr="00C0417F">
              <w:rPr>
                <w:rFonts w:asciiTheme="majorHAnsi" w:hAnsiTheme="majorHAnsi"/>
                <w:szCs w:val="24"/>
              </w:rPr>
              <w:t xml:space="preserve">adequate representation of senior individuals </w:t>
            </w:r>
          </w:p>
          <w:p w:rsidR="00067F07" w:rsidRPr="00C0417F" w:rsidRDefault="00067F07" w:rsidP="00067F07">
            <w:pPr>
              <w:widowControl/>
              <w:numPr>
                <w:ilvl w:val="1"/>
                <w:numId w:val="26"/>
              </w:numPr>
              <w:rPr>
                <w:rFonts w:asciiTheme="majorHAnsi" w:hAnsiTheme="majorHAnsi"/>
                <w:szCs w:val="24"/>
              </w:rPr>
            </w:pPr>
            <w:r w:rsidRPr="00C0417F">
              <w:rPr>
                <w:rFonts w:asciiTheme="majorHAnsi" w:hAnsiTheme="majorHAnsi"/>
                <w:szCs w:val="24"/>
              </w:rPr>
              <w:t>limited to those with an identified authorship role</w:t>
            </w:r>
          </w:p>
          <w:p w:rsidR="00067F07" w:rsidRPr="00C0417F" w:rsidRDefault="00067F07" w:rsidP="00067F07">
            <w:pPr>
              <w:widowControl/>
              <w:numPr>
                <w:ilvl w:val="0"/>
                <w:numId w:val="26"/>
              </w:numPr>
              <w:rPr>
                <w:rFonts w:asciiTheme="majorHAnsi" w:hAnsiTheme="majorHAnsi"/>
                <w:szCs w:val="24"/>
              </w:rPr>
            </w:pPr>
            <w:r w:rsidRPr="00C0417F">
              <w:rPr>
                <w:rFonts w:asciiTheme="majorHAnsi" w:hAnsiTheme="majorHAnsi"/>
                <w:szCs w:val="24"/>
              </w:rPr>
              <w:t xml:space="preserve">Updates: not exactly q 2 </w:t>
            </w:r>
            <w:proofErr w:type="spellStart"/>
            <w:r w:rsidRPr="00C0417F">
              <w:rPr>
                <w:rFonts w:asciiTheme="majorHAnsi" w:hAnsiTheme="majorHAnsi"/>
                <w:szCs w:val="24"/>
              </w:rPr>
              <w:t>yrs</w:t>
            </w:r>
            <w:proofErr w:type="spellEnd"/>
          </w:p>
          <w:p w:rsidR="00067F07" w:rsidRPr="00C0417F" w:rsidRDefault="00067F07" w:rsidP="00067F07">
            <w:pPr>
              <w:widowControl/>
              <w:numPr>
                <w:ilvl w:val="0"/>
                <w:numId w:val="26"/>
              </w:numPr>
              <w:rPr>
                <w:rFonts w:asciiTheme="majorHAnsi" w:hAnsiTheme="majorHAnsi"/>
                <w:szCs w:val="24"/>
              </w:rPr>
            </w:pPr>
            <w:r w:rsidRPr="00C0417F">
              <w:rPr>
                <w:rFonts w:asciiTheme="majorHAnsi" w:hAnsiTheme="majorHAnsi"/>
                <w:szCs w:val="24"/>
              </w:rPr>
              <w:t>Emphasize role of Steering committee in approving authorship</w:t>
            </w:r>
          </w:p>
          <w:p w:rsidR="00096544" w:rsidRDefault="002901BC" w:rsidP="00917FA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CPIC members gave feedback. Discussed the need to better define a conflict of interest due to employment by an entity in conflict (e.g., academic lab </w:t>
            </w:r>
            <w:r>
              <w:rPr>
                <w:rFonts w:asciiTheme="majorHAnsi" w:hAnsiTheme="majorHAnsi"/>
                <w:szCs w:val="22"/>
              </w:rPr>
              <w:lastRenderedPageBreak/>
              <w:t>versus commercial lab) and report any conflict and the management of the conflict in the guideline manuscript.</w:t>
            </w:r>
            <w:r w:rsidR="00C0417F">
              <w:rPr>
                <w:rFonts w:asciiTheme="majorHAnsi" w:hAnsiTheme="majorHAnsi"/>
                <w:szCs w:val="22"/>
              </w:rPr>
              <w:t xml:space="preserve"> </w:t>
            </w:r>
            <w:r w:rsidR="00917FA9">
              <w:rPr>
                <w:rFonts w:asciiTheme="majorHAnsi" w:hAnsiTheme="majorHAnsi"/>
                <w:szCs w:val="22"/>
              </w:rPr>
              <w:t xml:space="preserve">One CPIC member suggested writing a paper discussing the management of COI in CPIC guidelines. </w:t>
            </w:r>
            <w:r w:rsidR="00C0417F">
              <w:rPr>
                <w:rFonts w:asciiTheme="majorHAnsi" w:hAnsiTheme="majorHAnsi"/>
                <w:szCs w:val="22"/>
              </w:rPr>
              <w:t xml:space="preserve">Discussed </w:t>
            </w:r>
            <w:r w:rsidR="00917FA9">
              <w:rPr>
                <w:rFonts w:asciiTheme="majorHAnsi" w:hAnsiTheme="majorHAnsi"/>
                <w:szCs w:val="22"/>
              </w:rPr>
              <w:t>that the CPIC gene/drug pair list on PharmGKB does include FDA label information</w:t>
            </w:r>
            <w:r w:rsidR="00C0417F">
              <w:rPr>
                <w:rFonts w:asciiTheme="majorHAnsi" w:hAnsiTheme="majorHAnsi"/>
                <w:szCs w:val="22"/>
              </w:rPr>
              <w:t xml:space="preserve"> (</w:t>
            </w:r>
            <w:r w:rsidR="00C0417F" w:rsidRPr="00C0417F">
              <w:rPr>
                <w:rFonts w:asciiTheme="majorHAnsi" w:hAnsiTheme="majorHAnsi"/>
                <w:szCs w:val="22"/>
              </w:rPr>
              <w:t>http://www.pharmgkb.org/cpic/pairs</w:t>
            </w:r>
            <w:r w:rsidR="00C0417F">
              <w:rPr>
                <w:rFonts w:asciiTheme="majorHAnsi" w:hAnsiTheme="majorHAnsi"/>
                <w:szCs w:val="22"/>
              </w:rPr>
              <w:t>).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544" w:rsidRDefault="002901BC" w:rsidP="007704CC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 xml:space="preserve">Mary/Kelly will draft changes to current CPIC authorship guidelines </w:t>
            </w:r>
            <w:r w:rsidR="007704CC">
              <w:rPr>
                <w:rFonts w:asciiTheme="majorHAnsi" w:hAnsiTheme="majorHAnsi"/>
                <w:szCs w:val="22"/>
              </w:rPr>
              <w:t xml:space="preserve">for Steering Committee approval. </w:t>
            </w:r>
          </w:p>
        </w:tc>
      </w:tr>
    </w:tbl>
    <w:p w:rsidR="009735AD" w:rsidRPr="003D4320" w:rsidRDefault="009735AD" w:rsidP="00D176EC">
      <w:pPr>
        <w:pStyle w:val="PlainText"/>
        <w:rPr>
          <w:rFonts w:asciiTheme="majorHAnsi" w:hAnsiTheme="majorHAnsi"/>
          <w:sz w:val="22"/>
          <w:szCs w:val="22"/>
        </w:rPr>
      </w:pPr>
    </w:p>
    <w:sectPr w:rsidR="009735AD" w:rsidRPr="003D4320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25" w:rsidRDefault="00675725" w:rsidP="00E00679">
      <w:r>
        <w:separator/>
      </w:r>
    </w:p>
  </w:endnote>
  <w:endnote w:type="continuationSeparator" w:id="0">
    <w:p w:rsidR="00675725" w:rsidRDefault="00675725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25" w:rsidRDefault="00675725" w:rsidP="00E00679">
      <w:r>
        <w:separator/>
      </w:r>
    </w:p>
  </w:footnote>
  <w:footnote w:type="continuationSeparator" w:id="0">
    <w:p w:rsidR="00675725" w:rsidRDefault="00675725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91"/>
    <w:multiLevelType w:val="hybridMultilevel"/>
    <w:tmpl w:val="3E5CA224"/>
    <w:lvl w:ilvl="0" w:tplc="D43C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A608E">
      <w:start w:val="3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6F2515B"/>
    <w:multiLevelType w:val="hybridMultilevel"/>
    <w:tmpl w:val="D94A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20"/>
  </w:num>
  <w:num w:numId="12">
    <w:abstractNumId w:val="14"/>
  </w:num>
  <w:num w:numId="13">
    <w:abstractNumId w:val="11"/>
  </w:num>
  <w:num w:numId="14">
    <w:abstractNumId w:val="19"/>
  </w:num>
  <w:num w:numId="15">
    <w:abstractNumId w:val="1"/>
  </w:num>
  <w:num w:numId="16">
    <w:abstractNumId w:val="12"/>
  </w:num>
  <w:num w:numId="17">
    <w:abstractNumId w:val="15"/>
  </w:num>
  <w:num w:numId="18">
    <w:abstractNumId w:val="8"/>
  </w:num>
  <w:num w:numId="19">
    <w:abstractNumId w:val="17"/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3"/>
  </w:num>
  <w:num w:numId="25">
    <w:abstractNumId w:val="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3"/>
    <w:rsid w:val="00000655"/>
    <w:rsid w:val="0000332E"/>
    <w:rsid w:val="00006B63"/>
    <w:rsid w:val="000129DC"/>
    <w:rsid w:val="00013AB5"/>
    <w:rsid w:val="000158C6"/>
    <w:rsid w:val="0002505E"/>
    <w:rsid w:val="0002655A"/>
    <w:rsid w:val="00026D1F"/>
    <w:rsid w:val="0002732C"/>
    <w:rsid w:val="0003085A"/>
    <w:rsid w:val="00030F99"/>
    <w:rsid w:val="0003317A"/>
    <w:rsid w:val="00036D28"/>
    <w:rsid w:val="00040149"/>
    <w:rsid w:val="00040768"/>
    <w:rsid w:val="00050635"/>
    <w:rsid w:val="000638D7"/>
    <w:rsid w:val="00065D20"/>
    <w:rsid w:val="00067F07"/>
    <w:rsid w:val="00071849"/>
    <w:rsid w:val="00072991"/>
    <w:rsid w:val="0009054A"/>
    <w:rsid w:val="00096544"/>
    <w:rsid w:val="00097667"/>
    <w:rsid w:val="00097EB1"/>
    <w:rsid w:val="000A4E1A"/>
    <w:rsid w:val="000A52D2"/>
    <w:rsid w:val="000A58CD"/>
    <w:rsid w:val="000B0B3B"/>
    <w:rsid w:val="000B0DF9"/>
    <w:rsid w:val="000B290E"/>
    <w:rsid w:val="000B4363"/>
    <w:rsid w:val="000C0537"/>
    <w:rsid w:val="000D236B"/>
    <w:rsid w:val="000D27D4"/>
    <w:rsid w:val="000D538E"/>
    <w:rsid w:val="000E6969"/>
    <w:rsid w:val="000F0438"/>
    <w:rsid w:val="000F0E42"/>
    <w:rsid w:val="000F4F38"/>
    <w:rsid w:val="00110A74"/>
    <w:rsid w:val="001115B8"/>
    <w:rsid w:val="00113D3C"/>
    <w:rsid w:val="00115456"/>
    <w:rsid w:val="0011696D"/>
    <w:rsid w:val="00120327"/>
    <w:rsid w:val="001203FD"/>
    <w:rsid w:val="001242A0"/>
    <w:rsid w:val="00124CD1"/>
    <w:rsid w:val="001260F5"/>
    <w:rsid w:val="001275C0"/>
    <w:rsid w:val="00130156"/>
    <w:rsid w:val="001314F0"/>
    <w:rsid w:val="00132EE0"/>
    <w:rsid w:val="0014226D"/>
    <w:rsid w:val="001430D9"/>
    <w:rsid w:val="001470C2"/>
    <w:rsid w:val="00152FE2"/>
    <w:rsid w:val="00153A90"/>
    <w:rsid w:val="001576EA"/>
    <w:rsid w:val="00162A08"/>
    <w:rsid w:val="00167896"/>
    <w:rsid w:val="00170606"/>
    <w:rsid w:val="001752B7"/>
    <w:rsid w:val="001810E5"/>
    <w:rsid w:val="001919B6"/>
    <w:rsid w:val="00195B1A"/>
    <w:rsid w:val="00197429"/>
    <w:rsid w:val="001A118A"/>
    <w:rsid w:val="001A4F87"/>
    <w:rsid w:val="001A5696"/>
    <w:rsid w:val="001B036D"/>
    <w:rsid w:val="001B14B8"/>
    <w:rsid w:val="001B1F06"/>
    <w:rsid w:val="001B364A"/>
    <w:rsid w:val="001C2582"/>
    <w:rsid w:val="001C45E7"/>
    <w:rsid w:val="001C48DD"/>
    <w:rsid w:val="001C5EEE"/>
    <w:rsid w:val="001D19CE"/>
    <w:rsid w:val="001E1E5D"/>
    <w:rsid w:val="001E2F2D"/>
    <w:rsid w:val="001E4629"/>
    <w:rsid w:val="001E561D"/>
    <w:rsid w:val="001E7347"/>
    <w:rsid w:val="0020168A"/>
    <w:rsid w:val="002076F8"/>
    <w:rsid w:val="00210C5C"/>
    <w:rsid w:val="00212DFE"/>
    <w:rsid w:val="002157CA"/>
    <w:rsid w:val="002216DE"/>
    <w:rsid w:val="00224450"/>
    <w:rsid w:val="00231D27"/>
    <w:rsid w:val="002344B6"/>
    <w:rsid w:val="0023623B"/>
    <w:rsid w:val="0023788C"/>
    <w:rsid w:val="00241ADC"/>
    <w:rsid w:val="00244160"/>
    <w:rsid w:val="00246A2E"/>
    <w:rsid w:val="00247AB2"/>
    <w:rsid w:val="00251296"/>
    <w:rsid w:val="00251D33"/>
    <w:rsid w:val="002529EC"/>
    <w:rsid w:val="0025356F"/>
    <w:rsid w:val="0025378D"/>
    <w:rsid w:val="00255692"/>
    <w:rsid w:val="00260076"/>
    <w:rsid w:val="00260B34"/>
    <w:rsid w:val="00271A9C"/>
    <w:rsid w:val="0027208A"/>
    <w:rsid w:val="00277E00"/>
    <w:rsid w:val="00280A39"/>
    <w:rsid w:val="00284CC1"/>
    <w:rsid w:val="00285D31"/>
    <w:rsid w:val="002869BC"/>
    <w:rsid w:val="002901BC"/>
    <w:rsid w:val="0029562D"/>
    <w:rsid w:val="002A45B7"/>
    <w:rsid w:val="002A4D8C"/>
    <w:rsid w:val="002C49CD"/>
    <w:rsid w:val="002C6A3F"/>
    <w:rsid w:val="002D2A3A"/>
    <w:rsid w:val="002D3CA7"/>
    <w:rsid w:val="002E4B90"/>
    <w:rsid w:val="002F0507"/>
    <w:rsid w:val="002F42FE"/>
    <w:rsid w:val="002F5897"/>
    <w:rsid w:val="00311421"/>
    <w:rsid w:val="0031238E"/>
    <w:rsid w:val="00327286"/>
    <w:rsid w:val="00327B13"/>
    <w:rsid w:val="00333E31"/>
    <w:rsid w:val="00333FDC"/>
    <w:rsid w:val="0033416E"/>
    <w:rsid w:val="00337AC2"/>
    <w:rsid w:val="0034265E"/>
    <w:rsid w:val="0034505C"/>
    <w:rsid w:val="0034571B"/>
    <w:rsid w:val="00345995"/>
    <w:rsid w:val="00352A8D"/>
    <w:rsid w:val="00354B93"/>
    <w:rsid w:val="003558EC"/>
    <w:rsid w:val="00356075"/>
    <w:rsid w:val="00360653"/>
    <w:rsid w:val="003706C5"/>
    <w:rsid w:val="00371C73"/>
    <w:rsid w:val="003725F7"/>
    <w:rsid w:val="00372987"/>
    <w:rsid w:val="0037358B"/>
    <w:rsid w:val="00375E78"/>
    <w:rsid w:val="0037681C"/>
    <w:rsid w:val="00376FFA"/>
    <w:rsid w:val="00380597"/>
    <w:rsid w:val="0038539E"/>
    <w:rsid w:val="0038667B"/>
    <w:rsid w:val="00394558"/>
    <w:rsid w:val="00394E01"/>
    <w:rsid w:val="003959FB"/>
    <w:rsid w:val="003A03D5"/>
    <w:rsid w:val="003A2FBD"/>
    <w:rsid w:val="003A3C7F"/>
    <w:rsid w:val="003A5D3B"/>
    <w:rsid w:val="003A6D91"/>
    <w:rsid w:val="003B2081"/>
    <w:rsid w:val="003B4BE1"/>
    <w:rsid w:val="003B6BC7"/>
    <w:rsid w:val="003C1D16"/>
    <w:rsid w:val="003C6E3A"/>
    <w:rsid w:val="003D4320"/>
    <w:rsid w:val="003D536F"/>
    <w:rsid w:val="003E10B0"/>
    <w:rsid w:val="003F2238"/>
    <w:rsid w:val="003F641E"/>
    <w:rsid w:val="00402704"/>
    <w:rsid w:val="00402918"/>
    <w:rsid w:val="004037A8"/>
    <w:rsid w:val="00405BE7"/>
    <w:rsid w:val="00410715"/>
    <w:rsid w:val="00412BAD"/>
    <w:rsid w:val="004154E2"/>
    <w:rsid w:val="004170EC"/>
    <w:rsid w:val="0041768D"/>
    <w:rsid w:val="00420B9D"/>
    <w:rsid w:val="00430584"/>
    <w:rsid w:val="0043136C"/>
    <w:rsid w:val="00440382"/>
    <w:rsid w:val="00441E8B"/>
    <w:rsid w:val="00445D26"/>
    <w:rsid w:val="00447592"/>
    <w:rsid w:val="00457A70"/>
    <w:rsid w:val="00461127"/>
    <w:rsid w:val="004661C5"/>
    <w:rsid w:val="00466EC5"/>
    <w:rsid w:val="00470901"/>
    <w:rsid w:val="00474B97"/>
    <w:rsid w:val="00475396"/>
    <w:rsid w:val="00476BF7"/>
    <w:rsid w:val="00477418"/>
    <w:rsid w:val="004828EF"/>
    <w:rsid w:val="00490568"/>
    <w:rsid w:val="004A17C9"/>
    <w:rsid w:val="004A3A57"/>
    <w:rsid w:val="004A5DEB"/>
    <w:rsid w:val="004B2F28"/>
    <w:rsid w:val="004B5764"/>
    <w:rsid w:val="004C714F"/>
    <w:rsid w:val="004D2BA6"/>
    <w:rsid w:val="004D4089"/>
    <w:rsid w:val="004D4E60"/>
    <w:rsid w:val="004E04C6"/>
    <w:rsid w:val="004E2E8E"/>
    <w:rsid w:val="004E689A"/>
    <w:rsid w:val="004E6973"/>
    <w:rsid w:val="004E75C6"/>
    <w:rsid w:val="004F090D"/>
    <w:rsid w:val="004F6209"/>
    <w:rsid w:val="005021D3"/>
    <w:rsid w:val="00502C5F"/>
    <w:rsid w:val="00512586"/>
    <w:rsid w:val="00514A8E"/>
    <w:rsid w:val="00523768"/>
    <w:rsid w:val="00524902"/>
    <w:rsid w:val="00527ECE"/>
    <w:rsid w:val="00530292"/>
    <w:rsid w:val="005364CB"/>
    <w:rsid w:val="00537ACC"/>
    <w:rsid w:val="0054107D"/>
    <w:rsid w:val="00550D54"/>
    <w:rsid w:val="00551CD8"/>
    <w:rsid w:val="0055426E"/>
    <w:rsid w:val="005639D7"/>
    <w:rsid w:val="005662D7"/>
    <w:rsid w:val="00570362"/>
    <w:rsid w:val="00571ED4"/>
    <w:rsid w:val="0057505A"/>
    <w:rsid w:val="00575759"/>
    <w:rsid w:val="00580E5F"/>
    <w:rsid w:val="00580FEF"/>
    <w:rsid w:val="00582BF4"/>
    <w:rsid w:val="00584DAE"/>
    <w:rsid w:val="005906B5"/>
    <w:rsid w:val="00590E72"/>
    <w:rsid w:val="00590FE4"/>
    <w:rsid w:val="00593949"/>
    <w:rsid w:val="005A0AB9"/>
    <w:rsid w:val="005A218A"/>
    <w:rsid w:val="005A564D"/>
    <w:rsid w:val="005A7E37"/>
    <w:rsid w:val="005B112E"/>
    <w:rsid w:val="005B3DCC"/>
    <w:rsid w:val="005B4621"/>
    <w:rsid w:val="005B4C3B"/>
    <w:rsid w:val="005B4D40"/>
    <w:rsid w:val="005C0860"/>
    <w:rsid w:val="005C532B"/>
    <w:rsid w:val="005C6523"/>
    <w:rsid w:val="005D74F2"/>
    <w:rsid w:val="005D77BF"/>
    <w:rsid w:val="005E2723"/>
    <w:rsid w:val="005E62F1"/>
    <w:rsid w:val="005E6335"/>
    <w:rsid w:val="005E66C9"/>
    <w:rsid w:val="005E6CC2"/>
    <w:rsid w:val="005F2591"/>
    <w:rsid w:val="005F40AD"/>
    <w:rsid w:val="005F46E8"/>
    <w:rsid w:val="005F4FA6"/>
    <w:rsid w:val="005F55F1"/>
    <w:rsid w:val="005F6406"/>
    <w:rsid w:val="005F7DC1"/>
    <w:rsid w:val="00600339"/>
    <w:rsid w:val="0060151A"/>
    <w:rsid w:val="00610A1B"/>
    <w:rsid w:val="00612211"/>
    <w:rsid w:val="00612EFF"/>
    <w:rsid w:val="00614A73"/>
    <w:rsid w:val="00620B4B"/>
    <w:rsid w:val="006220B2"/>
    <w:rsid w:val="00622AF9"/>
    <w:rsid w:val="0063065D"/>
    <w:rsid w:val="0063239D"/>
    <w:rsid w:val="00632D27"/>
    <w:rsid w:val="0063359C"/>
    <w:rsid w:val="006353E6"/>
    <w:rsid w:val="00640FDE"/>
    <w:rsid w:val="00662EEF"/>
    <w:rsid w:val="00665601"/>
    <w:rsid w:val="00666E14"/>
    <w:rsid w:val="00667B03"/>
    <w:rsid w:val="00675725"/>
    <w:rsid w:val="0067768F"/>
    <w:rsid w:val="00683E8A"/>
    <w:rsid w:val="00685E2C"/>
    <w:rsid w:val="0068694A"/>
    <w:rsid w:val="0069479B"/>
    <w:rsid w:val="00695A95"/>
    <w:rsid w:val="0069742A"/>
    <w:rsid w:val="006A3925"/>
    <w:rsid w:val="006A43C2"/>
    <w:rsid w:val="006B0E66"/>
    <w:rsid w:val="006B1EF8"/>
    <w:rsid w:val="006C0EB3"/>
    <w:rsid w:val="006C6F38"/>
    <w:rsid w:val="006C749C"/>
    <w:rsid w:val="006D47C6"/>
    <w:rsid w:val="006D67DE"/>
    <w:rsid w:val="006E059E"/>
    <w:rsid w:val="006E3B5D"/>
    <w:rsid w:val="006E5188"/>
    <w:rsid w:val="006E5EB3"/>
    <w:rsid w:val="006E6D2E"/>
    <w:rsid w:val="006F222A"/>
    <w:rsid w:val="006F3330"/>
    <w:rsid w:val="00700E35"/>
    <w:rsid w:val="00701CF3"/>
    <w:rsid w:val="00706062"/>
    <w:rsid w:val="00706BE9"/>
    <w:rsid w:val="007322E1"/>
    <w:rsid w:val="007322E3"/>
    <w:rsid w:val="007339B7"/>
    <w:rsid w:val="00734AC9"/>
    <w:rsid w:val="00736048"/>
    <w:rsid w:val="00740994"/>
    <w:rsid w:val="007448BC"/>
    <w:rsid w:val="00752894"/>
    <w:rsid w:val="007535A4"/>
    <w:rsid w:val="00753881"/>
    <w:rsid w:val="0076225E"/>
    <w:rsid w:val="0076683F"/>
    <w:rsid w:val="007704CC"/>
    <w:rsid w:val="007770D6"/>
    <w:rsid w:val="00783E74"/>
    <w:rsid w:val="0079028E"/>
    <w:rsid w:val="00790989"/>
    <w:rsid w:val="00790D46"/>
    <w:rsid w:val="00792870"/>
    <w:rsid w:val="007942AE"/>
    <w:rsid w:val="00795A80"/>
    <w:rsid w:val="00796F11"/>
    <w:rsid w:val="007A4275"/>
    <w:rsid w:val="007A57D0"/>
    <w:rsid w:val="007A669C"/>
    <w:rsid w:val="007B1CE4"/>
    <w:rsid w:val="007B51C8"/>
    <w:rsid w:val="007B5F12"/>
    <w:rsid w:val="007C1FAB"/>
    <w:rsid w:val="007E1843"/>
    <w:rsid w:val="007E446E"/>
    <w:rsid w:val="007F05A0"/>
    <w:rsid w:val="007F3F3A"/>
    <w:rsid w:val="007F4259"/>
    <w:rsid w:val="00805851"/>
    <w:rsid w:val="0081548F"/>
    <w:rsid w:val="00816E4D"/>
    <w:rsid w:val="008223C6"/>
    <w:rsid w:val="00824028"/>
    <w:rsid w:val="00827AE2"/>
    <w:rsid w:val="00827B09"/>
    <w:rsid w:val="008321C2"/>
    <w:rsid w:val="00834BF0"/>
    <w:rsid w:val="008353EA"/>
    <w:rsid w:val="008439EC"/>
    <w:rsid w:val="00843B6A"/>
    <w:rsid w:val="00845007"/>
    <w:rsid w:val="00847DFB"/>
    <w:rsid w:val="00853198"/>
    <w:rsid w:val="00857DFA"/>
    <w:rsid w:val="00864177"/>
    <w:rsid w:val="008667D6"/>
    <w:rsid w:val="008706BE"/>
    <w:rsid w:val="008725B0"/>
    <w:rsid w:val="0087385A"/>
    <w:rsid w:val="00876B79"/>
    <w:rsid w:val="00880B0B"/>
    <w:rsid w:val="00890D18"/>
    <w:rsid w:val="00892855"/>
    <w:rsid w:val="008944C9"/>
    <w:rsid w:val="00896927"/>
    <w:rsid w:val="008A200A"/>
    <w:rsid w:val="008A24CD"/>
    <w:rsid w:val="008A55A8"/>
    <w:rsid w:val="008B18D0"/>
    <w:rsid w:val="008B7EE4"/>
    <w:rsid w:val="008C15AC"/>
    <w:rsid w:val="008C3876"/>
    <w:rsid w:val="008C4A65"/>
    <w:rsid w:val="008C7ABC"/>
    <w:rsid w:val="008C7D0E"/>
    <w:rsid w:val="008D0D87"/>
    <w:rsid w:val="008D310E"/>
    <w:rsid w:val="008D3972"/>
    <w:rsid w:val="008D3ECF"/>
    <w:rsid w:val="008E1145"/>
    <w:rsid w:val="008F0614"/>
    <w:rsid w:val="00914024"/>
    <w:rsid w:val="009172D5"/>
    <w:rsid w:val="00917FA9"/>
    <w:rsid w:val="009219ED"/>
    <w:rsid w:val="0092252B"/>
    <w:rsid w:val="009234DE"/>
    <w:rsid w:val="00923BA5"/>
    <w:rsid w:val="009256E2"/>
    <w:rsid w:val="00927875"/>
    <w:rsid w:val="00940918"/>
    <w:rsid w:val="00944FD6"/>
    <w:rsid w:val="00946402"/>
    <w:rsid w:val="00953AC3"/>
    <w:rsid w:val="00963503"/>
    <w:rsid w:val="00964673"/>
    <w:rsid w:val="00971813"/>
    <w:rsid w:val="009735AD"/>
    <w:rsid w:val="00981CB6"/>
    <w:rsid w:val="00983774"/>
    <w:rsid w:val="009910DC"/>
    <w:rsid w:val="00994156"/>
    <w:rsid w:val="00997F39"/>
    <w:rsid w:val="009A520D"/>
    <w:rsid w:val="009A7516"/>
    <w:rsid w:val="009B0261"/>
    <w:rsid w:val="009B4D74"/>
    <w:rsid w:val="009B5126"/>
    <w:rsid w:val="009B5D6A"/>
    <w:rsid w:val="009C2A9A"/>
    <w:rsid w:val="009C3871"/>
    <w:rsid w:val="009C7D5A"/>
    <w:rsid w:val="009D7EB6"/>
    <w:rsid w:val="009E153F"/>
    <w:rsid w:val="009E3F07"/>
    <w:rsid w:val="00A0374D"/>
    <w:rsid w:val="00A1261B"/>
    <w:rsid w:val="00A21478"/>
    <w:rsid w:val="00A2283D"/>
    <w:rsid w:val="00A25BC3"/>
    <w:rsid w:val="00A25CA6"/>
    <w:rsid w:val="00A326FF"/>
    <w:rsid w:val="00A36B4C"/>
    <w:rsid w:val="00A36F1E"/>
    <w:rsid w:val="00A41252"/>
    <w:rsid w:val="00A41A98"/>
    <w:rsid w:val="00A44330"/>
    <w:rsid w:val="00A46308"/>
    <w:rsid w:val="00A5028E"/>
    <w:rsid w:val="00A51341"/>
    <w:rsid w:val="00A517FE"/>
    <w:rsid w:val="00A55C6A"/>
    <w:rsid w:val="00A60F7E"/>
    <w:rsid w:val="00A612DB"/>
    <w:rsid w:val="00A64BFA"/>
    <w:rsid w:val="00A67343"/>
    <w:rsid w:val="00A73902"/>
    <w:rsid w:val="00A73FEA"/>
    <w:rsid w:val="00A749BC"/>
    <w:rsid w:val="00A818E8"/>
    <w:rsid w:val="00A85FAA"/>
    <w:rsid w:val="00A9197A"/>
    <w:rsid w:val="00A92948"/>
    <w:rsid w:val="00A92AE4"/>
    <w:rsid w:val="00A94ED6"/>
    <w:rsid w:val="00A978D7"/>
    <w:rsid w:val="00AA2CE8"/>
    <w:rsid w:val="00AB357B"/>
    <w:rsid w:val="00AB6224"/>
    <w:rsid w:val="00AB6965"/>
    <w:rsid w:val="00AC58D7"/>
    <w:rsid w:val="00AC7698"/>
    <w:rsid w:val="00AC7B30"/>
    <w:rsid w:val="00AD0FBB"/>
    <w:rsid w:val="00AD14AB"/>
    <w:rsid w:val="00AD2903"/>
    <w:rsid w:val="00AD4382"/>
    <w:rsid w:val="00AE09E8"/>
    <w:rsid w:val="00AE4D0B"/>
    <w:rsid w:val="00AF20C2"/>
    <w:rsid w:val="00AF21C8"/>
    <w:rsid w:val="00AF65CA"/>
    <w:rsid w:val="00AF6B53"/>
    <w:rsid w:val="00B0022C"/>
    <w:rsid w:val="00B14CB6"/>
    <w:rsid w:val="00B16912"/>
    <w:rsid w:val="00B16DEF"/>
    <w:rsid w:val="00B212AC"/>
    <w:rsid w:val="00B3249D"/>
    <w:rsid w:val="00B352C5"/>
    <w:rsid w:val="00B3627B"/>
    <w:rsid w:val="00B457F1"/>
    <w:rsid w:val="00B47B24"/>
    <w:rsid w:val="00B52BDF"/>
    <w:rsid w:val="00B567CD"/>
    <w:rsid w:val="00B65663"/>
    <w:rsid w:val="00B74E84"/>
    <w:rsid w:val="00B87072"/>
    <w:rsid w:val="00B91359"/>
    <w:rsid w:val="00B96C08"/>
    <w:rsid w:val="00BA29F1"/>
    <w:rsid w:val="00BB3CC5"/>
    <w:rsid w:val="00BB4C1F"/>
    <w:rsid w:val="00BC62DE"/>
    <w:rsid w:val="00BD48E3"/>
    <w:rsid w:val="00BE110E"/>
    <w:rsid w:val="00BE3168"/>
    <w:rsid w:val="00BE4131"/>
    <w:rsid w:val="00BE6D44"/>
    <w:rsid w:val="00BF40C1"/>
    <w:rsid w:val="00C0203E"/>
    <w:rsid w:val="00C0417F"/>
    <w:rsid w:val="00C1206C"/>
    <w:rsid w:val="00C1377F"/>
    <w:rsid w:val="00C17171"/>
    <w:rsid w:val="00C25B09"/>
    <w:rsid w:val="00C3032C"/>
    <w:rsid w:val="00C339B8"/>
    <w:rsid w:val="00C4599D"/>
    <w:rsid w:val="00C463A0"/>
    <w:rsid w:val="00C46EC0"/>
    <w:rsid w:val="00C538B5"/>
    <w:rsid w:val="00C56819"/>
    <w:rsid w:val="00C70CAA"/>
    <w:rsid w:val="00C7700A"/>
    <w:rsid w:val="00C8416B"/>
    <w:rsid w:val="00C8424B"/>
    <w:rsid w:val="00C855DA"/>
    <w:rsid w:val="00C85A3A"/>
    <w:rsid w:val="00C86649"/>
    <w:rsid w:val="00C924EF"/>
    <w:rsid w:val="00C943B1"/>
    <w:rsid w:val="00C96676"/>
    <w:rsid w:val="00CA09B7"/>
    <w:rsid w:val="00CA36A9"/>
    <w:rsid w:val="00CA43E4"/>
    <w:rsid w:val="00CD3200"/>
    <w:rsid w:val="00CE3270"/>
    <w:rsid w:val="00CE4120"/>
    <w:rsid w:val="00CF1DCB"/>
    <w:rsid w:val="00CF2234"/>
    <w:rsid w:val="00CF3800"/>
    <w:rsid w:val="00CF3900"/>
    <w:rsid w:val="00CF5CCB"/>
    <w:rsid w:val="00CF5D8B"/>
    <w:rsid w:val="00D04974"/>
    <w:rsid w:val="00D0714E"/>
    <w:rsid w:val="00D072AC"/>
    <w:rsid w:val="00D14D0E"/>
    <w:rsid w:val="00D176EC"/>
    <w:rsid w:val="00D17A88"/>
    <w:rsid w:val="00D21134"/>
    <w:rsid w:val="00D31181"/>
    <w:rsid w:val="00D318CC"/>
    <w:rsid w:val="00D423BF"/>
    <w:rsid w:val="00D4679D"/>
    <w:rsid w:val="00D53A59"/>
    <w:rsid w:val="00D60E2E"/>
    <w:rsid w:val="00D6179C"/>
    <w:rsid w:val="00D618F5"/>
    <w:rsid w:val="00D64A36"/>
    <w:rsid w:val="00D64D37"/>
    <w:rsid w:val="00D71045"/>
    <w:rsid w:val="00D732BB"/>
    <w:rsid w:val="00D801B2"/>
    <w:rsid w:val="00D8028F"/>
    <w:rsid w:val="00D82D23"/>
    <w:rsid w:val="00D85432"/>
    <w:rsid w:val="00D9386C"/>
    <w:rsid w:val="00D947D2"/>
    <w:rsid w:val="00DA13D0"/>
    <w:rsid w:val="00DA714B"/>
    <w:rsid w:val="00DB0A63"/>
    <w:rsid w:val="00DB255F"/>
    <w:rsid w:val="00DC2FB5"/>
    <w:rsid w:val="00DC35AB"/>
    <w:rsid w:val="00DC4EAE"/>
    <w:rsid w:val="00DC771A"/>
    <w:rsid w:val="00DD1F19"/>
    <w:rsid w:val="00DD6218"/>
    <w:rsid w:val="00DE4071"/>
    <w:rsid w:val="00DE4C9F"/>
    <w:rsid w:val="00DE5CF4"/>
    <w:rsid w:val="00DE6B38"/>
    <w:rsid w:val="00DF07B3"/>
    <w:rsid w:val="00DF27D3"/>
    <w:rsid w:val="00DF3C8D"/>
    <w:rsid w:val="00E00679"/>
    <w:rsid w:val="00E01179"/>
    <w:rsid w:val="00E014D5"/>
    <w:rsid w:val="00E07683"/>
    <w:rsid w:val="00E12A87"/>
    <w:rsid w:val="00E15E05"/>
    <w:rsid w:val="00E15E43"/>
    <w:rsid w:val="00E162A9"/>
    <w:rsid w:val="00E16D26"/>
    <w:rsid w:val="00E26C1E"/>
    <w:rsid w:val="00E30F6D"/>
    <w:rsid w:val="00E34AC4"/>
    <w:rsid w:val="00E37C0A"/>
    <w:rsid w:val="00E43B03"/>
    <w:rsid w:val="00E446F4"/>
    <w:rsid w:val="00E4516A"/>
    <w:rsid w:val="00E4641A"/>
    <w:rsid w:val="00E52420"/>
    <w:rsid w:val="00E55262"/>
    <w:rsid w:val="00E61007"/>
    <w:rsid w:val="00E64B2B"/>
    <w:rsid w:val="00E659EC"/>
    <w:rsid w:val="00E72BFE"/>
    <w:rsid w:val="00E80912"/>
    <w:rsid w:val="00E856E7"/>
    <w:rsid w:val="00E86654"/>
    <w:rsid w:val="00E92E73"/>
    <w:rsid w:val="00E95A36"/>
    <w:rsid w:val="00EA2223"/>
    <w:rsid w:val="00EA6DD3"/>
    <w:rsid w:val="00EB37FF"/>
    <w:rsid w:val="00EB56B7"/>
    <w:rsid w:val="00EB58EC"/>
    <w:rsid w:val="00EC2B3F"/>
    <w:rsid w:val="00EC5D33"/>
    <w:rsid w:val="00ED113F"/>
    <w:rsid w:val="00ED336A"/>
    <w:rsid w:val="00EE5EDB"/>
    <w:rsid w:val="00EF1222"/>
    <w:rsid w:val="00EF1546"/>
    <w:rsid w:val="00EF48DB"/>
    <w:rsid w:val="00F146AA"/>
    <w:rsid w:val="00F224F8"/>
    <w:rsid w:val="00F23DAE"/>
    <w:rsid w:val="00F24942"/>
    <w:rsid w:val="00F256E3"/>
    <w:rsid w:val="00F265DC"/>
    <w:rsid w:val="00F32800"/>
    <w:rsid w:val="00F34FE2"/>
    <w:rsid w:val="00F3583E"/>
    <w:rsid w:val="00F37CB7"/>
    <w:rsid w:val="00F415AB"/>
    <w:rsid w:val="00F41A9B"/>
    <w:rsid w:val="00F4274E"/>
    <w:rsid w:val="00F43371"/>
    <w:rsid w:val="00F44E81"/>
    <w:rsid w:val="00F471D0"/>
    <w:rsid w:val="00F53BCB"/>
    <w:rsid w:val="00F545BB"/>
    <w:rsid w:val="00F61213"/>
    <w:rsid w:val="00F62BCA"/>
    <w:rsid w:val="00F63D20"/>
    <w:rsid w:val="00F65564"/>
    <w:rsid w:val="00F657C2"/>
    <w:rsid w:val="00F65DEC"/>
    <w:rsid w:val="00F66DE5"/>
    <w:rsid w:val="00F7253A"/>
    <w:rsid w:val="00F77715"/>
    <w:rsid w:val="00F9196D"/>
    <w:rsid w:val="00F93BAA"/>
    <w:rsid w:val="00F93BEC"/>
    <w:rsid w:val="00FA0D75"/>
    <w:rsid w:val="00FB45C5"/>
    <w:rsid w:val="00FB7593"/>
    <w:rsid w:val="00FC2527"/>
    <w:rsid w:val="00FC2EF3"/>
    <w:rsid w:val="00FC31D4"/>
    <w:rsid w:val="00FD03E8"/>
    <w:rsid w:val="00FD16A0"/>
    <w:rsid w:val="00FD4C23"/>
    <w:rsid w:val="00FD721F"/>
    <w:rsid w:val="00FE1A8B"/>
    <w:rsid w:val="00FE1B4C"/>
    <w:rsid w:val="00FE7D5C"/>
    <w:rsid w:val="00FF360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2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k0@c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803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Kelly Caudle</cp:lastModifiedBy>
  <cp:revision>5</cp:revision>
  <cp:lastPrinted>2014-02-17T17:58:00Z</cp:lastPrinted>
  <dcterms:created xsi:type="dcterms:W3CDTF">2014-06-10T14:08:00Z</dcterms:created>
  <dcterms:modified xsi:type="dcterms:W3CDTF">2014-06-16T18:36:00Z</dcterms:modified>
</cp:coreProperties>
</file>