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CB7" w:rsidRDefault="00EA3167">
      <w:r>
        <w:t xml:space="preserve">CPIC: proposed </w:t>
      </w:r>
      <w:r w:rsidR="00D00CB7">
        <w:t>modifications</w:t>
      </w:r>
      <w:r>
        <w:t xml:space="preserve"> to Prescribing Recommendations and CPIC gene/drug Level </w:t>
      </w:r>
    </w:p>
    <w:p w:rsidR="00EA3167" w:rsidRDefault="00EA3167">
      <w:r>
        <w:t>August 11, 2016</w:t>
      </w:r>
    </w:p>
    <w:p w:rsidR="00EA3167" w:rsidRDefault="00EA3167">
      <w:r>
        <w:t>As discussed on the August 4</w:t>
      </w:r>
      <w:r w:rsidRPr="00D72570">
        <w:rPr>
          <w:vertAlign w:val="superscript"/>
        </w:rPr>
        <w:t>th</w:t>
      </w:r>
      <w:r>
        <w:t xml:space="preserve"> CPIC meeting, </w:t>
      </w:r>
      <w:r w:rsidR="009B604A">
        <w:t xml:space="preserve">three </w:t>
      </w:r>
      <w:r>
        <w:t>changes are proposed.</w:t>
      </w:r>
    </w:p>
    <w:p w:rsidR="00EA3167" w:rsidRDefault="00EA3167" w:rsidP="00D72570">
      <w:pPr>
        <w:ind w:left="720"/>
      </w:pPr>
      <w:r>
        <w:t xml:space="preserve">1. Create a new </w:t>
      </w:r>
      <w:r w:rsidR="00D00CB7">
        <w:t>category</w:t>
      </w:r>
      <w:r>
        <w:t xml:space="preserve"> for Prescribing Recommendations grades of “No Recommendation.”</w:t>
      </w:r>
    </w:p>
    <w:p w:rsidR="00EA3167" w:rsidRDefault="00EA3167" w:rsidP="00D72570">
      <w:pPr>
        <w:ind w:left="720"/>
      </w:pPr>
      <w:r w:rsidRPr="00D72570">
        <w:rPr>
          <w:highlight w:val="yellow"/>
        </w:rPr>
        <w:t xml:space="preserve">2. Modify definition of </w:t>
      </w:r>
      <w:r w:rsidR="009B604A">
        <w:rPr>
          <w:highlight w:val="yellow"/>
        </w:rPr>
        <w:t xml:space="preserve">“optional” Prescribing Recommendation </w:t>
      </w:r>
      <w:r w:rsidRPr="00D72570">
        <w:rPr>
          <w:highlight w:val="yellow"/>
        </w:rPr>
        <w:t xml:space="preserve">to </w:t>
      </w:r>
      <w:r w:rsidR="009B604A">
        <w:rPr>
          <w:highlight w:val="yellow"/>
        </w:rPr>
        <w:t xml:space="preserve">accommodate </w:t>
      </w:r>
      <w:r w:rsidRPr="00D72570">
        <w:rPr>
          <w:highlight w:val="yellow"/>
        </w:rPr>
        <w:t>recommendations based on weak or extrapolated evidence.</w:t>
      </w:r>
    </w:p>
    <w:p w:rsidR="009B604A" w:rsidRDefault="008D06E9" w:rsidP="00D72570">
      <w:pPr>
        <w:ind w:left="720"/>
      </w:pPr>
      <w:r w:rsidRPr="008D06E9">
        <w:rPr>
          <w:highlight w:val="yellow"/>
        </w:rPr>
        <w:t>3</w:t>
      </w:r>
      <w:r w:rsidR="009B604A" w:rsidRPr="00D72570">
        <w:rPr>
          <w:highlight w:val="yellow"/>
        </w:rPr>
        <w:t xml:space="preserve">. Modify definition of CPIC Level C gene/drug pair to reflect </w:t>
      </w:r>
      <w:r w:rsidR="009B604A" w:rsidRPr="009B604A">
        <w:rPr>
          <w:highlight w:val="yellow"/>
        </w:rPr>
        <w:t xml:space="preserve">that “no </w:t>
      </w:r>
      <w:r w:rsidR="009B604A" w:rsidRPr="00D72570">
        <w:rPr>
          <w:highlight w:val="yellow"/>
        </w:rPr>
        <w:t>recommendation</w:t>
      </w:r>
      <w:r w:rsidR="009B604A" w:rsidRPr="009B604A">
        <w:rPr>
          <w:highlight w:val="yellow"/>
        </w:rPr>
        <w:t>” may</w:t>
      </w:r>
      <w:r>
        <w:rPr>
          <w:highlight w:val="yellow"/>
        </w:rPr>
        <w:t xml:space="preserve"> be</w:t>
      </w:r>
      <w:r w:rsidR="009B604A" w:rsidRPr="009B604A">
        <w:rPr>
          <w:highlight w:val="yellow"/>
        </w:rPr>
        <w:t xml:space="preserve"> because of </w:t>
      </w:r>
      <w:r w:rsidR="009B604A" w:rsidRPr="00D72570">
        <w:rPr>
          <w:highlight w:val="yellow"/>
        </w:rPr>
        <w:t>few published studies or weak evidence.</w:t>
      </w:r>
    </w:p>
    <w:p w:rsidR="00EA3167" w:rsidRDefault="00EA3167">
      <w:r>
        <w:t>Background</w:t>
      </w:r>
      <w:r w:rsidR="00D00CB7">
        <w:t xml:space="preserve"> and Proposed changes</w:t>
      </w:r>
      <w:r>
        <w:t>:</w:t>
      </w:r>
    </w:p>
    <w:p w:rsidR="00EA3167" w:rsidRPr="00DE0295" w:rsidRDefault="00EA3167" w:rsidP="00EA3167">
      <w:pPr>
        <w:rPr>
          <w:rFonts w:asciiTheme="majorHAnsi" w:hAnsiTheme="majorHAnsi"/>
        </w:rPr>
      </w:pPr>
      <w:r>
        <w:rPr>
          <w:rFonts w:asciiTheme="majorHAnsi" w:hAnsiTheme="majorHAnsi"/>
        </w:rPr>
        <w:t>W</w:t>
      </w:r>
      <w:r w:rsidRPr="00DE0295">
        <w:rPr>
          <w:rFonts w:asciiTheme="majorHAnsi" w:hAnsiTheme="majorHAnsi"/>
        </w:rPr>
        <w:t>hen CPIC</w:t>
      </w:r>
      <w:r>
        <w:rPr>
          <w:rFonts w:asciiTheme="majorHAnsi" w:hAnsiTheme="majorHAnsi"/>
        </w:rPr>
        <w:t xml:space="preserve"> was started</w:t>
      </w:r>
      <w:r w:rsidRPr="00DE0295">
        <w:rPr>
          <w:rFonts w:asciiTheme="majorHAnsi" w:hAnsiTheme="majorHAnsi"/>
        </w:rPr>
        <w:t xml:space="preserve">, </w:t>
      </w:r>
      <w:r>
        <w:rPr>
          <w:rFonts w:asciiTheme="majorHAnsi" w:hAnsiTheme="majorHAnsi"/>
        </w:rPr>
        <w:t xml:space="preserve">it was </w:t>
      </w:r>
      <w:r w:rsidRPr="00DE0295">
        <w:rPr>
          <w:rFonts w:asciiTheme="majorHAnsi" w:hAnsiTheme="majorHAnsi"/>
        </w:rPr>
        <w:t xml:space="preserve">anticipated that we’d be writing guidelines for gene/drug pairs that DID have a </w:t>
      </w:r>
      <w:r>
        <w:rPr>
          <w:rFonts w:asciiTheme="majorHAnsi" w:hAnsiTheme="majorHAnsi"/>
        </w:rPr>
        <w:t xml:space="preserve">prescribing </w:t>
      </w:r>
      <w:r w:rsidRPr="00DE0295">
        <w:rPr>
          <w:rFonts w:asciiTheme="majorHAnsi" w:hAnsiTheme="majorHAnsi"/>
        </w:rPr>
        <w:t>recommendation. Now we are tackling more and more gene/drugs for which some phenotypes/drugs</w:t>
      </w:r>
      <w:r>
        <w:rPr>
          <w:rFonts w:asciiTheme="majorHAnsi" w:hAnsiTheme="majorHAnsi"/>
        </w:rPr>
        <w:t xml:space="preserve"> </w:t>
      </w:r>
      <w:r w:rsidRPr="00DE0295">
        <w:rPr>
          <w:rFonts w:asciiTheme="majorHAnsi" w:hAnsiTheme="majorHAnsi"/>
        </w:rPr>
        <w:t>have a recommendation</w:t>
      </w:r>
      <w:r>
        <w:rPr>
          <w:rFonts w:asciiTheme="majorHAnsi" w:hAnsiTheme="majorHAnsi"/>
        </w:rPr>
        <w:t xml:space="preserve"> </w:t>
      </w:r>
      <w:r w:rsidRPr="00DE0295">
        <w:rPr>
          <w:rFonts w:asciiTheme="majorHAnsi" w:hAnsiTheme="majorHAnsi"/>
        </w:rPr>
        <w:t xml:space="preserve">but for some, we don’t have any recommendation. (And for which stating: “Use normal dose/drug, because </w:t>
      </w:r>
      <w:r>
        <w:rPr>
          <w:rFonts w:asciiTheme="majorHAnsi" w:hAnsiTheme="majorHAnsi"/>
        </w:rPr>
        <w:t xml:space="preserve">there is </w:t>
      </w:r>
      <w:r w:rsidRPr="00DE0295">
        <w:rPr>
          <w:rFonts w:asciiTheme="majorHAnsi" w:hAnsiTheme="majorHAnsi"/>
        </w:rPr>
        <w:t>no reason to change the prescribing based on this gene” itself seems too strong a statement).</w:t>
      </w:r>
      <w:r>
        <w:rPr>
          <w:rFonts w:asciiTheme="majorHAnsi" w:hAnsiTheme="majorHAnsi"/>
        </w:rPr>
        <w:t xml:space="preserve"> Moreover, if we do write a guideline for a level C gene/drug pair, by definition, there will be no prescribing recommendations, so categorizing that as an “optional” recommendation doesn’t really make sense.</w:t>
      </w:r>
    </w:p>
    <w:p w:rsidR="00EA3167" w:rsidRDefault="00EA3167" w:rsidP="00EA3167">
      <w:pPr>
        <w:rPr>
          <w:rFonts w:asciiTheme="majorHAnsi" w:hAnsiTheme="majorHAnsi"/>
        </w:rPr>
      </w:pPr>
      <w:r>
        <w:rPr>
          <w:rFonts w:asciiTheme="majorHAnsi" w:hAnsiTheme="majorHAnsi"/>
        </w:rPr>
        <w:t xml:space="preserve">Based on a review of other clinical guidelines categorizations (including </w:t>
      </w:r>
      <w:r w:rsidRPr="00DE0295">
        <w:rPr>
          <w:rFonts w:asciiTheme="majorHAnsi" w:hAnsiTheme="majorHAnsi"/>
        </w:rPr>
        <w:t>the IOM report on guidelines, the ASCO document on guidelines, and the AIDS/HIV group guidelines</w:t>
      </w:r>
      <w:r>
        <w:rPr>
          <w:rFonts w:asciiTheme="majorHAnsi" w:hAnsiTheme="majorHAnsi"/>
        </w:rPr>
        <w:t xml:space="preserve">---see below for links), there is ample precedence for including a category of “no </w:t>
      </w:r>
      <w:r w:rsidR="00D00CB7">
        <w:rPr>
          <w:rFonts w:asciiTheme="majorHAnsi" w:hAnsiTheme="majorHAnsi"/>
        </w:rPr>
        <w:t>recommendation</w:t>
      </w:r>
      <w:r>
        <w:rPr>
          <w:rFonts w:asciiTheme="majorHAnsi" w:hAnsiTheme="majorHAnsi"/>
        </w:rPr>
        <w:t xml:space="preserve">.” It should be noted that our original source for CPIC prescribing recommendations were based primarily on the AIDS/HIV group grades </w:t>
      </w:r>
      <w:r w:rsidRPr="00DE0295">
        <w:rPr>
          <w:rFonts w:asciiTheme="majorHAnsi" w:hAnsiTheme="majorHAnsi"/>
        </w:rPr>
        <w:t xml:space="preserve">(our original source for “strong, moderate, optional” grading of recommendations). </w:t>
      </w:r>
      <w:r>
        <w:rPr>
          <w:rFonts w:asciiTheme="majorHAnsi" w:hAnsiTheme="majorHAnsi"/>
        </w:rPr>
        <w:t>The thinking was that we should minimize guidelines with “no recommendation</w:t>
      </w:r>
      <w:r w:rsidR="00D00CB7">
        <w:rPr>
          <w:rFonts w:asciiTheme="majorHAnsi" w:hAnsiTheme="majorHAnsi"/>
        </w:rPr>
        <w:t>,</w:t>
      </w:r>
      <w:r>
        <w:rPr>
          <w:rFonts w:asciiTheme="majorHAnsi" w:hAnsiTheme="majorHAnsi"/>
        </w:rPr>
        <w:t xml:space="preserve">” because </w:t>
      </w:r>
      <w:r w:rsidR="00D00CB7">
        <w:rPr>
          <w:rFonts w:asciiTheme="majorHAnsi" w:hAnsiTheme="majorHAnsi"/>
        </w:rPr>
        <w:t xml:space="preserve">too often, this can be the fallback position when evidence is weak. The idea behind CPIC is to provide clinicians a guide for HOW to use genetic information, even when the evidence is weak, and to be willing to make interpretations based on relatively weak evidence, as the assumption is that the genetic test information is already in hand. However, even the </w:t>
      </w:r>
      <w:r w:rsidRPr="00DE0295">
        <w:rPr>
          <w:rFonts w:asciiTheme="majorHAnsi" w:hAnsiTheme="majorHAnsi"/>
        </w:rPr>
        <w:t xml:space="preserve">AIDS group </w:t>
      </w:r>
      <w:r w:rsidR="00D00CB7">
        <w:rPr>
          <w:rFonts w:asciiTheme="majorHAnsi" w:hAnsiTheme="majorHAnsi"/>
        </w:rPr>
        <w:t xml:space="preserve">does include </w:t>
      </w:r>
      <w:r>
        <w:rPr>
          <w:rFonts w:asciiTheme="majorHAnsi" w:hAnsiTheme="majorHAnsi"/>
        </w:rPr>
        <w:t xml:space="preserve">a (relatively infrequently used) option of </w:t>
      </w:r>
      <w:r w:rsidRPr="00DE0295">
        <w:rPr>
          <w:rFonts w:asciiTheme="majorHAnsi" w:hAnsiTheme="majorHAnsi"/>
        </w:rPr>
        <w:t>“no recommendation</w:t>
      </w:r>
      <w:r w:rsidR="00D00CB7">
        <w:rPr>
          <w:rFonts w:asciiTheme="majorHAnsi" w:hAnsiTheme="majorHAnsi"/>
        </w:rPr>
        <w:t>,</w:t>
      </w:r>
      <w:r w:rsidRPr="00DE0295">
        <w:rPr>
          <w:rFonts w:asciiTheme="majorHAnsi" w:hAnsiTheme="majorHAnsi"/>
        </w:rPr>
        <w:t xml:space="preserve">” </w:t>
      </w:r>
      <w:r w:rsidR="00D00CB7">
        <w:rPr>
          <w:rFonts w:asciiTheme="majorHAnsi" w:hAnsiTheme="majorHAnsi"/>
        </w:rPr>
        <w:t>(as do</w:t>
      </w:r>
      <w:r>
        <w:rPr>
          <w:rFonts w:asciiTheme="majorHAnsi" w:hAnsiTheme="majorHAnsi"/>
        </w:rPr>
        <w:t xml:space="preserve"> other guideline groups</w:t>
      </w:r>
      <w:r w:rsidR="00D00CB7">
        <w:rPr>
          <w:rFonts w:asciiTheme="majorHAnsi" w:hAnsiTheme="majorHAnsi"/>
        </w:rPr>
        <w:t>), and it is clear that CPIC is tackling more examples for with a recommendation is possible for one phenotypic group (e.g. ultrarapid metabolizers) but not for others phenotypic groups (e.g. poor metabolizers)—perhaps for one drug but not for another. Therefore, b</w:t>
      </w:r>
      <w:r>
        <w:rPr>
          <w:rFonts w:asciiTheme="majorHAnsi" w:hAnsiTheme="majorHAnsi"/>
        </w:rPr>
        <w:t xml:space="preserve">ased on a review of other practices, and considering the current challenges being faced for some </w:t>
      </w:r>
      <w:r w:rsidR="00D00CB7">
        <w:rPr>
          <w:rFonts w:asciiTheme="majorHAnsi" w:hAnsiTheme="majorHAnsi"/>
        </w:rPr>
        <w:t xml:space="preserve">phenotypes for some </w:t>
      </w:r>
      <w:r>
        <w:rPr>
          <w:rFonts w:asciiTheme="majorHAnsi" w:hAnsiTheme="majorHAnsi"/>
        </w:rPr>
        <w:t>gene/drug pairs, it is recommended</w:t>
      </w:r>
      <w:r w:rsidRPr="00DE0295">
        <w:rPr>
          <w:rFonts w:asciiTheme="majorHAnsi" w:hAnsiTheme="majorHAnsi"/>
        </w:rPr>
        <w:t xml:space="preserve"> that in addition to having 3 strengths (strong, moderate, optional) for diplotype/drugs where we do have </w:t>
      </w:r>
      <w:r>
        <w:rPr>
          <w:rFonts w:asciiTheme="majorHAnsi" w:hAnsiTheme="majorHAnsi"/>
        </w:rPr>
        <w:t>a</w:t>
      </w:r>
      <w:r w:rsidRPr="00DE0295">
        <w:rPr>
          <w:rFonts w:asciiTheme="majorHAnsi" w:hAnsiTheme="majorHAnsi"/>
        </w:rPr>
        <w:t xml:space="preserve"> recommendation, we </w:t>
      </w:r>
      <w:r>
        <w:rPr>
          <w:rFonts w:asciiTheme="majorHAnsi" w:hAnsiTheme="majorHAnsi"/>
        </w:rPr>
        <w:t xml:space="preserve">add an option for </w:t>
      </w:r>
      <w:r w:rsidRPr="00DE0295">
        <w:rPr>
          <w:rFonts w:asciiTheme="majorHAnsi" w:hAnsiTheme="majorHAnsi"/>
        </w:rPr>
        <w:t>“no recommendation</w:t>
      </w:r>
      <w:r w:rsidR="00D00CB7">
        <w:rPr>
          <w:rFonts w:asciiTheme="majorHAnsi" w:hAnsiTheme="majorHAnsi"/>
        </w:rPr>
        <w:t>.</w:t>
      </w:r>
      <w:r w:rsidRPr="00DE0295">
        <w:rPr>
          <w:rFonts w:asciiTheme="majorHAnsi" w:hAnsiTheme="majorHAnsi"/>
        </w:rPr>
        <w:t xml:space="preserve">” </w:t>
      </w:r>
      <w:r w:rsidR="00D00CB7">
        <w:rPr>
          <w:rFonts w:asciiTheme="majorHAnsi" w:hAnsiTheme="majorHAnsi"/>
        </w:rPr>
        <w:t xml:space="preserve"> However, guideline authors will be reminded that the goal is to have a recommendation, even if “optional,” wherever possible.</w:t>
      </w:r>
      <w:r>
        <w:rPr>
          <w:rFonts w:asciiTheme="majorHAnsi" w:hAnsiTheme="majorHAnsi"/>
        </w:rPr>
        <w:t xml:space="preserve"> </w:t>
      </w:r>
    </w:p>
    <w:p w:rsidR="00EA3167" w:rsidRPr="00DE0295" w:rsidRDefault="00EA3167" w:rsidP="00EA3167">
      <w:pPr>
        <w:rPr>
          <w:rFonts w:asciiTheme="majorHAnsi" w:hAnsiTheme="majorHAnsi"/>
        </w:rPr>
      </w:pPr>
      <w:r>
        <w:rPr>
          <w:rFonts w:asciiTheme="majorHAnsi" w:hAnsiTheme="majorHAnsi"/>
        </w:rPr>
        <w:lastRenderedPageBreak/>
        <w:t xml:space="preserve">In cases for which all possible genotypes for a given gene/drug pair have “no recommendation,” that pair </w:t>
      </w:r>
      <w:r w:rsidR="00D00CB7">
        <w:rPr>
          <w:rFonts w:asciiTheme="majorHAnsi" w:hAnsiTheme="majorHAnsi"/>
        </w:rPr>
        <w:t xml:space="preserve">has been (and </w:t>
      </w:r>
      <w:r>
        <w:rPr>
          <w:rFonts w:asciiTheme="majorHAnsi" w:hAnsiTheme="majorHAnsi"/>
        </w:rPr>
        <w:t xml:space="preserve">would </w:t>
      </w:r>
      <w:r w:rsidR="00D00CB7">
        <w:rPr>
          <w:rFonts w:asciiTheme="majorHAnsi" w:hAnsiTheme="majorHAnsi"/>
        </w:rPr>
        <w:t xml:space="preserve">continue to </w:t>
      </w:r>
      <w:r>
        <w:rPr>
          <w:rFonts w:asciiTheme="majorHAnsi" w:hAnsiTheme="majorHAnsi"/>
        </w:rPr>
        <w:t>be</w:t>
      </w:r>
      <w:r w:rsidR="00D00CB7">
        <w:rPr>
          <w:rFonts w:asciiTheme="majorHAnsi" w:hAnsiTheme="majorHAnsi"/>
        </w:rPr>
        <w:t>)</w:t>
      </w:r>
      <w:r>
        <w:rPr>
          <w:rFonts w:asciiTheme="majorHAnsi" w:hAnsiTheme="majorHAnsi"/>
        </w:rPr>
        <w:t xml:space="preserve"> classified as a CPIC level C. To reflect </w:t>
      </w:r>
      <w:r w:rsidR="00D00CB7">
        <w:rPr>
          <w:rFonts w:asciiTheme="majorHAnsi" w:hAnsiTheme="majorHAnsi"/>
        </w:rPr>
        <w:t xml:space="preserve">the </w:t>
      </w:r>
      <w:r>
        <w:rPr>
          <w:rFonts w:asciiTheme="majorHAnsi" w:hAnsiTheme="majorHAnsi"/>
        </w:rPr>
        <w:t>additional Prescribing Recommendation category</w:t>
      </w:r>
      <w:r w:rsidR="00D00CB7">
        <w:rPr>
          <w:rFonts w:asciiTheme="majorHAnsi" w:hAnsiTheme="majorHAnsi"/>
        </w:rPr>
        <w:t xml:space="preserve"> of “no recommendation</w:t>
      </w:r>
      <w:r>
        <w:rPr>
          <w:rFonts w:asciiTheme="majorHAnsi" w:hAnsiTheme="majorHAnsi"/>
        </w:rPr>
        <w:t>,</w:t>
      </w:r>
      <w:r w:rsidR="00D00CB7">
        <w:rPr>
          <w:rFonts w:asciiTheme="majorHAnsi" w:hAnsiTheme="majorHAnsi"/>
        </w:rPr>
        <w:t>”</w:t>
      </w:r>
      <w:r>
        <w:rPr>
          <w:rFonts w:asciiTheme="majorHAnsi" w:hAnsiTheme="majorHAnsi"/>
        </w:rPr>
        <w:t xml:space="preserve"> the definition of a CPIC level C has been revised to include cases where there are few published studies or mostly weak evidence and the clinical actions are unclear(see attached “CPIC definitions revision.docx”).</w:t>
      </w:r>
    </w:p>
    <w:p w:rsidR="00EA3167" w:rsidRPr="00DE0295" w:rsidRDefault="00EA3167" w:rsidP="00EA3167">
      <w:pPr>
        <w:rPr>
          <w:rFonts w:asciiTheme="majorHAnsi" w:hAnsiTheme="majorHAnsi"/>
        </w:rPr>
      </w:pPr>
      <w:r>
        <w:rPr>
          <w:rFonts w:asciiTheme="majorHAnsi" w:hAnsiTheme="majorHAnsi"/>
        </w:rPr>
        <w:t>A</w:t>
      </w:r>
      <w:r w:rsidRPr="00DE0295">
        <w:rPr>
          <w:rFonts w:asciiTheme="majorHAnsi" w:hAnsiTheme="majorHAnsi"/>
        </w:rPr>
        <w:t xml:space="preserve">nother </w:t>
      </w:r>
      <w:r>
        <w:rPr>
          <w:rFonts w:asciiTheme="majorHAnsi" w:hAnsiTheme="majorHAnsi"/>
        </w:rPr>
        <w:t xml:space="preserve">related </w:t>
      </w:r>
      <w:r w:rsidRPr="00DE0295">
        <w:rPr>
          <w:rFonts w:asciiTheme="majorHAnsi" w:hAnsiTheme="majorHAnsi"/>
        </w:rPr>
        <w:t>issue that has come up</w:t>
      </w:r>
      <w:r>
        <w:rPr>
          <w:rFonts w:asciiTheme="majorHAnsi" w:hAnsiTheme="majorHAnsi"/>
        </w:rPr>
        <w:t xml:space="preserve"> recently</w:t>
      </w:r>
      <w:r w:rsidRPr="00DE0295">
        <w:rPr>
          <w:rFonts w:asciiTheme="majorHAnsi" w:hAnsiTheme="majorHAnsi"/>
        </w:rPr>
        <w:t xml:space="preserve"> is how to list drugs on the CPIC site (</w:t>
      </w:r>
      <w:hyperlink r:id="rId4" w:history="1">
        <w:r w:rsidR="00D00CB7" w:rsidRPr="00F234B5">
          <w:rPr>
            <w:rStyle w:val="Hyperlink"/>
            <w:rFonts w:asciiTheme="majorHAnsi" w:hAnsiTheme="majorHAnsi"/>
          </w:rPr>
          <w:t>https://cpicpgx.org/genes-drugs/</w:t>
        </w:r>
      </w:hyperlink>
      <w:r w:rsidR="00D00CB7">
        <w:rPr>
          <w:rFonts w:asciiTheme="majorHAnsi" w:hAnsiTheme="majorHAnsi"/>
        </w:rPr>
        <w:t xml:space="preserve"> </w:t>
      </w:r>
      <w:r>
        <w:rPr>
          <w:rFonts w:asciiTheme="majorHAnsi" w:hAnsiTheme="majorHAnsi"/>
        </w:rPr>
        <w:t xml:space="preserve">CPIC level </w:t>
      </w:r>
      <w:r w:rsidRPr="00DE0295">
        <w:rPr>
          <w:rFonts w:asciiTheme="majorHAnsi" w:hAnsiTheme="majorHAnsi"/>
        </w:rPr>
        <w:t>A, B, C, or D) that are listed in guidelines as “not good alternatives” but are not explicitly the subject of a CPIC guideline recommendation</w:t>
      </w:r>
      <w:r>
        <w:rPr>
          <w:rFonts w:asciiTheme="majorHAnsi" w:hAnsiTheme="majorHAnsi"/>
        </w:rPr>
        <w:t xml:space="preserve"> (e.g. don’t use tramadol instead of codeine). </w:t>
      </w:r>
      <w:r w:rsidRPr="00DE0295">
        <w:rPr>
          <w:rFonts w:asciiTheme="majorHAnsi" w:hAnsiTheme="majorHAnsi"/>
        </w:rPr>
        <w:t xml:space="preserve"> </w:t>
      </w:r>
      <w:r>
        <w:rPr>
          <w:rFonts w:asciiTheme="majorHAnsi" w:hAnsiTheme="majorHAnsi"/>
        </w:rPr>
        <w:t>In addition, some guidelines include recommendations that it may be reasonable to apply them to similar agents (e.g. imipramine treated like other TCAs). By slightly revising the definition of an “optional” recommendation to include cases where the “evidence is weak or based on extrapolations,” (see attached “CPIC definitions revision.docx”), some of these “alternatives” can be considered a CPIC level B. Guideline authors can elect to categorize such “alternatives” as B or C, depending on levels of evidence.</w:t>
      </w:r>
    </w:p>
    <w:p w:rsidR="00EA3167" w:rsidRDefault="00D00CB7">
      <w:r>
        <w:t>The current and proposed CPIC grades for Prescribing Recommendations and definitions of CPIC levels for gene/drug pairs are below, with changes highlighted.</w:t>
      </w:r>
    </w:p>
    <w:tbl>
      <w:tblPr>
        <w:tblStyle w:val="TableGrid"/>
        <w:tblW w:w="12325" w:type="dxa"/>
        <w:tblLook w:val="04A0" w:firstRow="1" w:lastRow="0" w:firstColumn="1" w:lastColumn="0" w:noHBand="0" w:noVBand="1"/>
      </w:tblPr>
      <w:tblGrid>
        <w:gridCol w:w="2965"/>
        <w:gridCol w:w="3690"/>
        <w:gridCol w:w="754"/>
        <w:gridCol w:w="2486"/>
        <w:gridCol w:w="2430"/>
      </w:tblGrid>
      <w:tr w:rsidR="00266624" w:rsidRPr="00266624" w:rsidTr="00D72570">
        <w:tc>
          <w:tcPr>
            <w:tcW w:w="2965" w:type="dxa"/>
            <w:tcBorders>
              <w:right w:val="double" w:sz="4" w:space="0" w:color="auto"/>
            </w:tcBorders>
          </w:tcPr>
          <w:p w:rsidR="00266624" w:rsidRPr="00D72570" w:rsidRDefault="00266624" w:rsidP="00266624">
            <w:pPr>
              <w:rPr>
                <w:rFonts w:ascii="Times New Roman" w:hAnsi="Times New Roman" w:cs="Times New Roman"/>
                <w:b/>
              </w:rPr>
            </w:pPr>
            <w:r w:rsidRPr="00D72570">
              <w:rPr>
                <w:rFonts w:ascii="Times New Roman" w:hAnsi="Times New Roman" w:cs="Times New Roman"/>
                <w:b/>
              </w:rPr>
              <w:t xml:space="preserve">Current CPIC </w:t>
            </w:r>
            <w:r w:rsidR="00EA3167" w:rsidRPr="00EA3167">
              <w:rPr>
                <w:rFonts w:ascii="Times New Roman" w:hAnsi="Times New Roman" w:cs="Times New Roman"/>
                <w:b/>
              </w:rPr>
              <w:t>grades for P</w:t>
            </w:r>
            <w:r w:rsidRPr="00D72570">
              <w:rPr>
                <w:rFonts w:ascii="Times New Roman" w:hAnsi="Times New Roman" w:cs="Times New Roman"/>
                <w:b/>
              </w:rPr>
              <w:t xml:space="preserve">rescribing </w:t>
            </w:r>
            <w:r w:rsidR="00EA3167">
              <w:rPr>
                <w:rFonts w:ascii="Times New Roman" w:hAnsi="Times New Roman" w:cs="Times New Roman"/>
                <w:b/>
              </w:rPr>
              <w:t>R</w:t>
            </w:r>
            <w:r w:rsidRPr="00D72570">
              <w:rPr>
                <w:rFonts w:ascii="Times New Roman" w:hAnsi="Times New Roman" w:cs="Times New Roman"/>
                <w:b/>
              </w:rPr>
              <w:t>ecommendations</w:t>
            </w:r>
          </w:p>
        </w:tc>
        <w:tc>
          <w:tcPr>
            <w:tcW w:w="3690" w:type="dxa"/>
            <w:tcBorders>
              <w:left w:val="double" w:sz="4" w:space="0" w:color="auto"/>
            </w:tcBorders>
          </w:tcPr>
          <w:p w:rsidR="00266624" w:rsidRPr="00D72570" w:rsidRDefault="00266624" w:rsidP="00A82CFA">
            <w:pPr>
              <w:rPr>
                <w:rFonts w:ascii="Times New Roman" w:hAnsi="Times New Roman" w:cs="Times New Roman"/>
                <w:b/>
              </w:rPr>
            </w:pPr>
            <w:r w:rsidRPr="00D72570">
              <w:rPr>
                <w:rFonts w:ascii="Times New Roman" w:hAnsi="Times New Roman" w:cs="Times New Roman"/>
                <w:b/>
              </w:rPr>
              <w:t xml:space="preserve">Proposed CPIC </w:t>
            </w:r>
            <w:r w:rsidR="00EA3167" w:rsidRPr="00EA3167">
              <w:rPr>
                <w:rFonts w:ascii="Times New Roman" w:hAnsi="Times New Roman" w:cs="Times New Roman"/>
                <w:b/>
              </w:rPr>
              <w:t>grades for P</w:t>
            </w:r>
            <w:r w:rsidRPr="00D72570">
              <w:rPr>
                <w:rFonts w:ascii="Times New Roman" w:hAnsi="Times New Roman" w:cs="Times New Roman"/>
                <w:b/>
              </w:rPr>
              <w:t xml:space="preserve">rescribing </w:t>
            </w:r>
            <w:r w:rsidR="00EA3167">
              <w:rPr>
                <w:rFonts w:ascii="Times New Roman" w:hAnsi="Times New Roman" w:cs="Times New Roman"/>
                <w:b/>
              </w:rPr>
              <w:t>R</w:t>
            </w:r>
            <w:r w:rsidRPr="00D72570">
              <w:rPr>
                <w:rFonts w:ascii="Times New Roman" w:hAnsi="Times New Roman" w:cs="Times New Roman"/>
                <w:b/>
              </w:rPr>
              <w:t>ecommendations (revisions highlighted in yellow)</w:t>
            </w:r>
          </w:p>
        </w:tc>
        <w:tc>
          <w:tcPr>
            <w:tcW w:w="754" w:type="dxa"/>
            <w:tcBorders>
              <w:left w:val="double" w:sz="4" w:space="0" w:color="auto"/>
            </w:tcBorders>
          </w:tcPr>
          <w:p w:rsidR="00266624" w:rsidRPr="00D72570" w:rsidRDefault="00266624" w:rsidP="00A82CFA">
            <w:pPr>
              <w:rPr>
                <w:rFonts w:ascii="Times New Roman" w:hAnsi="Times New Roman" w:cs="Times New Roman"/>
                <w:b/>
              </w:rPr>
            </w:pPr>
            <w:r w:rsidRPr="00D72570">
              <w:rPr>
                <w:rFonts w:ascii="Times New Roman" w:hAnsi="Times New Roman" w:cs="Times New Roman"/>
                <w:b/>
              </w:rPr>
              <w:t>CPIC level</w:t>
            </w:r>
          </w:p>
        </w:tc>
        <w:tc>
          <w:tcPr>
            <w:tcW w:w="2486" w:type="dxa"/>
            <w:tcBorders>
              <w:left w:val="double" w:sz="4" w:space="0" w:color="auto"/>
            </w:tcBorders>
          </w:tcPr>
          <w:p w:rsidR="00266624" w:rsidRPr="00D72570" w:rsidRDefault="00266624" w:rsidP="00A82CFA">
            <w:pPr>
              <w:rPr>
                <w:rFonts w:ascii="Times New Roman" w:hAnsi="Times New Roman" w:cs="Times New Roman"/>
                <w:b/>
              </w:rPr>
            </w:pPr>
            <w:r w:rsidRPr="00D72570">
              <w:rPr>
                <w:rFonts w:ascii="Times New Roman" w:hAnsi="Times New Roman" w:cs="Times New Roman"/>
                <w:b/>
              </w:rPr>
              <w:t>Current definition of CPIC level</w:t>
            </w:r>
          </w:p>
        </w:tc>
        <w:tc>
          <w:tcPr>
            <w:tcW w:w="2430" w:type="dxa"/>
            <w:tcBorders>
              <w:left w:val="double" w:sz="4" w:space="0" w:color="auto"/>
            </w:tcBorders>
          </w:tcPr>
          <w:p w:rsidR="00266624" w:rsidRPr="00D72570" w:rsidRDefault="00266624" w:rsidP="00A82CFA">
            <w:pPr>
              <w:rPr>
                <w:rFonts w:ascii="Times New Roman" w:hAnsi="Times New Roman" w:cs="Times New Roman"/>
                <w:b/>
              </w:rPr>
            </w:pPr>
            <w:r w:rsidRPr="00D72570">
              <w:rPr>
                <w:rFonts w:ascii="Times New Roman" w:hAnsi="Times New Roman" w:cs="Times New Roman"/>
                <w:b/>
              </w:rPr>
              <w:t>Proposed definition of CPIC level</w:t>
            </w:r>
          </w:p>
        </w:tc>
      </w:tr>
      <w:tr w:rsidR="00266624" w:rsidRPr="00266624" w:rsidTr="00D72570">
        <w:tc>
          <w:tcPr>
            <w:tcW w:w="2965" w:type="dxa"/>
            <w:tcBorders>
              <w:right w:val="double" w:sz="4" w:space="0" w:color="auto"/>
            </w:tcBorders>
          </w:tcPr>
          <w:p w:rsidR="00266624" w:rsidRPr="00D72570" w:rsidRDefault="00266624" w:rsidP="00DE2DC3">
            <w:pPr>
              <w:rPr>
                <w:rFonts w:ascii="Times New Roman" w:hAnsi="Times New Roman" w:cs="Times New Roman"/>
              </w:rPr>
            </w:pPr>
          </w:p>
        </w:tc>
        <w:tc>
          <w:tcPr>
            <w:tcW w:w="3690" w:type="dxa"/>
            <w:tcBorders>
              <w:left w:val="double" w:sz="4" w:space="0" w:color="auto"/>
            </w:tcBorders>
          </w:tcPr>
          <w:p w:rsidR="00266624" w:rsidRPr="00D72570" w:rsidRDefault="00266624">
            <w:pPr>
              <w:rPr>
                <w:rFonts w:ascii="Times New Roman" w:hAnsi="Times New Roman" w:cs="Times New Roman"/>
              </w:rPr>
            </w:pPr>
          </w:p>
        </w:tc>
        <w:tc>
          <w:tcPr>
            <w:tcW w:w="754" w:type="dxa"/>
            <w:tcBorders>
              <w:left w:val="double" w:sz="4" w:space="0" w:color="auto"/>
            </w:tcBorders>
          </w:tcPr>
          <w:p w:rsidR="00266624" w:rsidRPr="00D72570" w:rsidRDefault="00266624">
            <w:pPr>
              <w:rPr>
                <w:rFonts w:ascii="Times New Roman" w:hAnsi="Times New Roman" w:cs="Times New Roman"/>
              </w:rPr>
            </w:pPr>
          </w:p>
        </w:tc>
        <w:tc>
          <w:tcPr>
            <w:tcW w:w="2486" w:type="dxa"/>
            <w:tcBorders>
              <w:left w:val="double" w:sz="4" w:space="0" w:color="auto"/>
            </w:tcBorders>
          </w:tcPr>
          <w:p w:rsidR="00266624" w:rsidRPr="00D72570" w:rsidRDefault="00266624">
            <w:pPr>
              <w:rPr>
                <w:rFonts w:ascii="Times New Roman" w:hAnsi="Times New Roman" w:cs="Times New Roman"/>
              </w:rPr>
            </w:pPr>
          </w:p>
        </w:tc>
        <w:tc>
          <w:tcPr>
            <w:tcW w:w="2430" w:type="dxa"/>
            <w:tcBorders>
              <w:left w:val="double" w:sz="4" w:space="0" w:color="auto"/>
            </w:tcBorders>
          </w:tcPr>
          <w:p w:rsidR="00266624" w:rsidRPr="00D72570" w:rsidRDefault="00266624">
            <w:pPr>
              <w:rPr>
                <w:rFonts w:ascii="Times New Roman" w:hAnsi="Times New Roman" w:cs="Times New Roman"/>
              </w:rPr>
            </w:pPr>
          </w:p>
        </w:tc>
      </w:tr>
      <w:tr w:rsidR="00266624" w:rsidRPr="00266624" w:rsidTr="00D72570">
        <w:trPr>
          <w:trHeight w:val="1385"/>
        </w:trPr>
        <w:tc>
          <w:tcPr>
            <w:tcW w:w="2965" w:type="dxa"/>
            <w:tcBorders>
              <w:right w:val="double" w:sz="4" w:space="0" w:color="auto"/>
            </w:tcBorders>
          </w:tcPr>
          <w:p w:rsidR="00266624" w:rsidRPr="00D72570" w:rsidRDefault="00266624" w:rsidP="00266624">
            <w:pPr>
              <w:rPr>
                <w:rFonts w:ascii="Times New Roman" w:hAnsi="Times New Roman" w:cs="Times New Roman"/>
              </w:rPr>
            </w:pPr>
            <w:r w:rsidRPr="00D72570">
              <w:rPr>
                <w:rFonts w:ascii="Times New Roman" w:hAnsi="Times New Roman" w:cs="Times New Roman"/>
              </w:rPr>
              <w:t xml:space="preserve">Strong: “the evidence is high quality and the desirable effects clearly outweigh the undesirable effects” </w:t>
            </w:r>
          </w:p>
        </w:tc>
        <w:tc>
          <w:tcPr>
            <w:tcW w:w="3690" w:type="dxa"/>
            <w:tcBorders>
              <w:left w:val="double" w:sz="4" w:space="0" w:color="auto"/>
            </w:tcBorders>
          </w:tcPr>
          <w:p w:rsidR="00266624" w:rsidRPr="00D72570" w:rsidRDefault="00266624" w:rsidP="00266624">
            <w:pPr>
              <w:rPr>
                <w:rFonts w:ascii="Times New Roman" w:hAnsi="Times New Roman" w:cs="Times New Roman"/>
              </w:rPr>
            </w:pPr>
            <w:r w:rsidRPr="00D72570">
              <w:rPr>
                <w:rFonts w:ascii="Times New Roman" w:hAnsi="Times New Roman" w:cs="Times New Roman"/>
              </w:rPr>
              <w:t xml:space="preserve">Strong: “the evidence is high quality and the desirable effects clearly outweigh the undesirable effects” </w:t>
            </w:r>
          </w:p>
        </w:tc>
        <w:tc>
          <w:tcPr>
            <w:tcW w:w="754" w:type="dxa"/>
            <w:tcBorders>
              <w:left w:val="double" w:sz="4" w:space="0" w:color="auto"/>
            </w:tcBorders>
          </w:tcPr>
          <w:p w:rsidR="00266624" w:rsidRPr="00D72570" w:rsidRDefault="00266624" w:rsidP="00266624">
            <w:pPr>
              <w:rPr>
                <w:rFonts w:ascii="Times New Roman" w:hAnsi="Times New Roman" w:cs="Times New Roman"/>
              </w:rPr>
            </w:pPr>
            <w:r w:rsidRPr="00D72570">
              <w:rPr>
                <w:rFonts w:ascii="Times New Roman" w:hAnsi="Times New Roman" w:cs="Times New Roman"/>
              </w:rPr>
              <w:t>A</w:t>
            </w:r>
          </w:p>
        </w:tc>
        <w:tc>
          <w:tcPr>
            <w:tcW w:w="2486" w:type="dxa"/>
          </w:tcPr>
          <w:p w:rsidR="00266624" w:rsidRPr="00D72570" w:rsidRDefault="00DF2BD9" w:rsidP="00266624">
            <w:pPr>
              <w:rPr>
                <w:rFonts w:ascii="Times New Roman" w:hAnsi="Times New Roman" w:cs="Times New Roman"/>
              </w:rPr>
            </w:pPr>
            <w:r w:rsidRPr="00DF2BD9">
              <w:rPr>
                <w:rFonts w:ascii="Times New Roman" w:hAnsi="Times New Roman" w:cs="Times New Roman"/>
              </w:rPr>
              <w:t>Genetic information should be used to change prescribing of affected drug</w:t>
            </w:r>
          </w:p>
        </w:tc>
        <w:tc>
          <w:tcPr>
            <w:tcW w:w="2430" w:type="dxa"/>
          </w:tcPr>
          <w:p w:rsidR="00266624" w:rsidRPr="00D72570" w:rsidRDefault="00DF2BD9" w:rsidP="00266624">
            <w:pPr>
              <w:rPr>
                <w:rFonts w:ascii="Times New Roman" w:hAnsi="Times New Roman" w:cs="Times New Roman"/>
              </w:rPr>
            </w:pPr>
            <w:r w:rsidRPr="00DF2BD9">
              <w:rPr>
                <w:rFonts w:ascii="Times New Roman" w:eastAsia="Times New Roman" w:hAnsi="Times New Roman" w:cs="Times New Roman"/>
                <w:kern w:val="24"/>
              </w:rPr>
              <w:t>Genetic information should be used to change prescribing of affected drug</w:t>
            </w:r>
          </w:p>
        </w:tc>
      </w:tr>
      <w:tr w:rsidR="00266624" w:rsidRPr="00266624" w:rsidTr="00D72570">
        <w:tc>
          <w:tcPr>
            <w:tcW w:w="2965" w:type="dxa"/>
            <w:tcBorders>
              <w:right w:val="double" w:sz="4" w:space="0" w:color="auto"/>
            </w:tcBorders>
          </w:tcPr>
          <w:p w:rsidR="00266624" w:rsidRPr="00D72570" w:rsidRDefault="00266624" w:rsidP="00266624">
            <w:pPr>
              <w:rPr>
                <w:rFonts w:ascii="Times New Roman" w:hAnsi="Times New Roman" w:cs="Times New Roman"/>
              </w:rPr>
            </w:pPr>
            <w:r w:rsidRPr="00D72570">
              <w:rPr>
                <w:rFonts w:ascii="Times New Roman" w:hAnsi="Times New Roman" w:cs="Times New Roman"/>
              </w:rPr>
              <w:t>Moderate: “there is a close or uncertain balance” as to whether the evidence is high quality and the desirable clearly outweigh the undesirable effects</w:t>
            </w:r>
          </w:p>
          <w:p w:rsidR="00266624" w:rsidRPr="00D72570" w:rsidRDefault="00266624" w:rsidP="00266624">
            <w:pPr>
              <w:rPr>
                <w:rFonts w:ascii="Times New Roman" w:hAnsi="Times New Roman" w:cs="Times New Roman"/>
              </w:rPr>
            </w:pPr>
          </w:p>
        </w:tc>
        <w:tc>
          <w:tcPr>
            <w:tcW w:w="3690" w:type="dxa"/>
            <w:tcBorders>
              <w:left w:val="double" w:sz="4" w:space="0" w:color="auto"/>
            </w:tcBorders>
          </w:tcPr>
          <w:p w:rsidR="00266624" w:rsidRPr="00D72570" w:rsidRDefault="00266624" w:rsidP="00266624">
            <w:pPr>
              <w:rPr>
                <w:rFonts w:ascii="Times New Roman" w:hAnsi="Times New Roman" w:cs="Times New Roman"/>
              </w:rPr>
            </w:pPr>
            <w:r w:rsidRPr="00D72570">
              <w:rPr>
                <w:rFonts w:ascii="Times New Roman" w:hAnsi="Times New Roman" w:cs="Times New Roman"/>
              </w:rPr>
              <w:t>Moderate: “there is a close or uncertain balance” as to whether the evidence is high quality and the desirable clearly outweigh the undesirable effects</w:t>
            </w:r>
          </w:p>
          <w:p w:rsidR="00266624" w:rsidRPr="00D72570" w:rsidRDefault="00266624" w:rsidP="00266624">
            <w:pPr>
              <w:rPr>
                <w:rFonts w:ascii="Times New Roman" w:hAnsi="Times New Roman" w:cs="Times New Roman"/>
              </w:rPr>
            </w:pPr>
          </w:p>
        </w:tc>
        <w:tc>
          <w:tcPr>
            <w:tcW w:w="754" w:type="dxa"/>
            <w:tcBorders>
              <w:left w:val="double" w:sz="4" w:space="0" w:color="auto"/>
            </w:tcBorders>
          </w:tcPr>
          <w:p w:rsidR="00266624" w:rsidRPr="00D72570" w:rsidRDefault="00266624" w:rsidP="00266624">
            <w:pPr>
              <w:rPr>
                <w:rFonts w:ascii="Times New Roman" w:hAnsi="Times New Roman" w:cs="Times New Roman"/>
              </w:rPr>
            </w:pPr>
            <w:r w:rsidRPr="00D72570">
              <w:rPr>
                <w:rFonts w:ascii="Times New Roman" w:hAnsi="Times New Roman" w:cs="Times New Roman"/>
              </w:rPr>
              <w:t>A</w:t>
            </w:r>
          </w:p>
        </w:tc>
        <w:tc>
          <w:tcPr>
            <w:tcW w:w="2486" w:type="dxa"/>
          </w:tcPr>
          <w:p w:rsidR="00266624" w:rsidRPr="00D72570" w:rsidRDefault="00266624" w:rsidP="00266624">
            <w:pPr>
              <w:rPr>
                <w:rFonts w:ascii="Times New Roman" w:hAnsi="Times New Roman" w:cs="Times New Roman"/>
              </w:rPr>
            </w:pPr>
            <w:r w:rsidRPr="00D72570">
              <w:rPr>
                <w:rFonts w:ascii="Times New Roman" w:eastAsia="Times New Roman" w:hAnsi="Times New Roman" w:cs="Times New Roman"/>
                <w:kern w:val="24"/>
              </w:rPr>
              <w:t>Genetic information should be used to change prescribing of affected drug</w:t>
            </w:r>
          </w:p>
        </w:tc>
        <w:tc>
          <w:tcPr>
            <w:tcW w:w="2430" w:type="dxa"/>
          </w:tcPr>
          <w:p w:rsidR="00266624" w:rsidRPr="00D72570" w:rsidRDefault="00DF2BD9" w:rsidP="00266624">
            <w:pPr>
              <w:rPr>
                <w:rFonts w:ascii="Times New Roman" w:hAnsi="Times New Roman" w:cs="Times New Roman"/>
              </w:rPr>
            </w:pPr>
            <w:r w:rsidRPr="00DF2BD9">
              <w:rPr>
                <w:rFonts w:ascii="Times New Roman" w:eastAsia="Times New Roman" w:hAnsi="Times New Roman" w:cs="Times New Roman"/>
                <w:kern w:val="24"/>
              </w:rPr>
              <w:t>Genetic information should be used to change prescribing of affected drug</w:t>
            </w:r>
          </w:p>
        </w:tc>
      </w:tr>
      <w:tr w:rsidR="00266624" w:rsidRPr="00266624" w:rsidTr="00D72570">
        <w:tc>
          <w:tcPr>
            <w:tcW w:w="2965" w:type="dxa"/>
            <w:tcBorders>
              <w:right w:val="double" w:sz="4" w:space="0" w:color="auto"/>
            </w:tcBorders>
          </w:tcPr>
          <w:p w:rsidR="00266624" w:rsidRPr="00D72570" w:rsidRDefault="00266624" w:rsidP="00266624">
            <w:pPr>
              <w:rPr>
                <w:rFonts w:ascii="Times New Roman" w:hAnsi="Times New Roman" w:cs="Times New Roman"/>
              </w:rPr>
            </w:pPr>
            <w:r w:rsidRPr="00D72570">
              <w:rPr>
                <w:rFonts w:ascii="Times New Roman" w:hAnsi="Times New Roman" w:cs="Times New Roman"/>
              </w:rPr>
              <w:t xml:space="preserve">Optional: the desirable effects of pharmacogenetic-based dosing are closely balanced with undesirable effects and </w:t>
            </w:r>
            <w:r w:rsidRPr="00D72570">
              <w:rPr>
                <w:rFonts w:ascii="Times New Roman" w:hAnsi="Times New Roman" w:cs="Times New Roman"/>
              </w:rPr>
              <w:lastRenderedPageBreak/>
              <w:t>there is room for differences in opinion as to the need for the recommended course of action.</w:t>
            </w:r>
          </w:p>
        </w:tc>
        <w:tc>
          <w:tcPr>
            <w:tcW w:w="3690" w:type="dxa"/>
            <w:tcBorders>
              <w:left w:val="double" w:sz="4" w:space="0" w:color="auto"/>
            </w:tcBorders>
          </w:tcPr>
          <w:p w:rsidR="00266624" w:rsidRPr="00D72570" w:rsidRDefault="00266624" w:rsidP="00266624">
            <w:pPr>
              <w:rPr>
                <w:rFonts w:ascii="Times New Roman" w:hAnsi="Times New Roman" w:cs="Times New Roman"/>
              </w:rPr>
            </w:pPr>
            <w:r w:rsidRPr="00D72570">
              <w:rPr>
                <w:rFonts w:ascii="Times New Roman" w:hAnsi="Times New Roman" w:cs="Times New Roman"/>
              </w:rPr>
              <w:lastRenderedPageBreak/>
              <w:t xml:space="preserve">Optional: the desirable effects of pharmacogenetic-based dosing are closely balanced with undesirable effects, </w:t>
            </w:r>
            <w:r w:rsidRPr="00D72570">
              <w:rPr>
                <w:rFonts w:ascii="Times New Roman" w:hAnsi="Times New Roman" w:cs="Times New Roman"/>
                <w:highlight w:val="yellow"/>
              </w:rPr>
              <w:t xml:space="preserve">or the evidence is weak or </w:t>
            </w:r>
            <w:r w:rsidRPr="00D72570">
              <w:rPr>
                <w:rFonts w:ascii="Times New Roman" w:hAnsi="Times New Roman" w:cs="Times New Roman"/>
                <w:highlight w:val="yellow"/>
              </w:rPr>
              <w:lastRenderedPageBreak/>
              <w:t>based on extrapolations.</w:t>
            </w:r>
            <w:r w:rsidRPr="00D72570">
              <w:rPr>
                <w:rFonts w:ascii="Times New Roman" w:hAnsi="Times New Roman" w:cs="Times New Roman"/>
              </w:rPr>
              <w:t xml:space="preserve"> There is room for differences in opinion as to the need for the recommended course of action.</w:t>
            </w:r>
          </w:p>
        </w:tc>
        <w:tc>
          <w:tcPr>
            <w:tcW w:w="754" w:type="dxa"/>
            <w:tcBorders>
              <w:left w:val="double" w:sz="4" w:space="0" w:color="auto"/>
            </w:tcBorders>
          </w:tcPr>
          <w:p w:rsidR="00266624" w:rsidRPr="00D72570" w:rsidRDefault="00266624" w:rsidP="00266624">
            <w:pPr>
              <w:rPr>
                <w:rFonts w:ascii="Times New Roman" w:hAnsi="Times New Roman" w:cs="Times New Roman"/>
              </w:rPr>
            </w:pPr>
            <w:r w:rsidRPr="00D72570">
              <w:rPr>
                <w:rFonts w:ascii="Times New Roman" w:hAnsi="Times New Roman" w:cs="Times New Roman"/>
              </w:rPr>
              <w:lastRenderedPageBreak/>
              <w:t>B</w:t>
            </w:r>
          </w:p>
        </w:tc>
        <w:tc>
          <w:tcPr>
            <w:tcW w:w="2486" w:type="dxa"/>
          </w:tcPr>
          <w:p w:rsidR="00266624" w:rsidRPr="00D72570" w:rsidRDefault="00266624" w:rsidP="00266624">
            <w:pPr>
              <w:rPr>
                <w:rFonts w:ascii="Times New Roman" w:hAnsi="Times New Roman" w:cs="Times New Roman"/>
              </w:rPr>
            </w:pPr>
            <w:r w:rsidRPr="00D72570">
              <w:rPr>
                <w:rFonts w:ascii="Times New Roman" w:hAnsi="Times New Roman" w:cs="Times New Roman"/>
              </w:rPr>
              <w:t xml:space="preserve">Genetic information could be used to change prescribing of the affected drug because </w:t>
            </w:r>
            <w:r w:rsidRPr="00D72570">
              <w:rPr>
                <w:rFonts w:ascii="Times New Roman" w:hAnsi="Times New Roman" w:cs="Times New Roman"/>
              </w:rPr>
              <w:lastRenderedPageBreak/>
              <w:t>alternative therapies/dosing are extremely likely to be as effective and as safe as no</w:t>
            </w:r>
            <w:r w:rsidR="00DF2BD9">
              <w:rPr>
                <w:rFonts w:ascii="Times New Roman" w:hAnsi="Times New Roman" w:cs="Times New Roman"/>
              </w:rPr>
              <w:t xml:space="preserve">n-genetically based prescribing. </w:t>
            </w:r>
            <w:r w:rsidRPr="00D72570">
              <w:rPr>
                <w:rFonts w:ascii="Times New Roman" w:hAnsi="Times New Roman" w:cs="Times New Roman"/>
              </w:rPr>
              <w:t>At least one optional action (change in prescribing) is recommended.</w:t>
            </w:r>
          </w:p>
        </w:tc>
        <w:tc>
          <w:tcPr>
            <w:tcW w:w="2430" w:type="dxa"/>
          </w:tcPr>
          <w:p w:rsidR="00266624" w:rsidRPr="00D72570" w:rsidRDefault="00DF2BD9" w:rsidP="00266624">
            <w:pPr>
              <w:rPr>
                <w:rFonts w:ascii="Times New Roman" w:hAnsi="Times New Roman" w:cs="Times New Roman"/>
              </w:rPr>
            </w:pPr>
            <w:r w:rsidRPr="00DF2BD9">
              <w:rPr>
                <w:rFonts w:ascii="Times New Roman" w:hAnsi="Times New Roman" w:cs="Times New Roman"/>
              </w:rPr>
              <w:lastRenderedPageBreak/>
              <w:t xml:space="preserve">Genetic information could be used to change prescribing of the affected drug because </w:t>
            </w:r>
            <w:r w:rsidRPr="00DF2BD9">
              <w:rPr>
                <w:rFonts w:ascii="Times New Roman" w:hAnsi="Times New Roman" w:cs="Times New Roman"/>
              </w:rPr>
              <w:lastRenderedPageBreak/>
              <w:t>alternative therapies/dosing are extremely likely to be as effective and as safe as non-genetically based prescribing. At least one optional action (change in prescribing) is recommended.</w:t>
            </w:r>
          </w:p>
        </w:tc>
      </w:tr>
      <w:tr w:rsidR="00266624" w:rsidRPr="00266624" w:rsidTr="00D72570">
        <w:trPr>
          <w:trHeight w:val="70"/>
        </w:trPr>
        <w:tc>
          <w:tcPr>
            <w:tcW w:w="2965" w:type="dxa"/>
            <w:tcBorders>
              <w:right w:val="double" w:sz="4" w:space="0" w:color="auto"/>
            </w:tcBorders>
          </w:tcPr>
          <w:p w:rsidR="00266624" w:rsidRPr="00D72570" w:rsidRDefault="00266624" w:rsidP="00266624">
            <w:pPr>
              <w:rPr>
                <w:rFonts w:ascii="Times New Roman" w:hAnsi="Times New Roman" w:cs="Times New Roman"/>
              </w:rPr>
            </w:pPr>
          </w:p>
        </w:tc>
        <w:tc>
          <w:tcPr>
            <w:tcW w:w="3690" w:type="dxa"/>
            <w:tcBorders>
              <w:left w:val="double" w:sz="4" w:space="0" w:color="auto"/>
            </w:tcBorders>
          </w:tcPr>
          <w:p w:rsidR="00266624" w:rsidRPr="00D72570" w:rsidRDefault="00266624" w:rsidP="00266624">
            <w:pPr>
              <w:rPr>
                <w:rFonts w:ascii="Times New Roman" w:hAnsi="Times New Roman" w:cs="Times New Roman"/>
                <w:highlight w:val="yellow"/>
              </w:rPr>
            </w:pPr>
            <w:r w:rsidRPr="00D72570">
              <w:rPr>
                <w:rFonts w:ascii="Times New Roman" w:hAnsi="Times New Roman" w:cs="Times New Roman"/>
                <w:highlight w:val="yellow"/>
              </w:rPr>
              <w:t>No recommendation:</w:t>
            </w:r>
          </w:p>
          <w:p w:rsidR="00266624" w:rsidRPr="00D72570" w:rsidRDefault="00266624" w:rsidP="00266624">
            <w:pPr>
              <w:rPr>
                <w:rFonts w:ascii="Times New Roman" w:hAnsi="Times New Roman" w:cs="Times New Roman"/>
              </w:rPr>
            </w:pPr>
            <w:r w:rsidRPr="00D72570">
              <w:rPr>
                <w:rFonts w:ascii="Times New Roman" w:hAnsi="Times New Roman" w:cs="Times New Roman"/>
                <w:highlight w:val="yellow"/>
              </w:rPr>
              <w:t>there is insufficient evidence, confidence, or agreement to provide a recommendation to guide clinical practice at this time.</w:t>
            </w:r>
            <w:r w:rsidRPr="00D72570">
              <w:rPr>
                <w:rFonts w:ascii="Times New Roman" w:hAnsi="Times New Roman" w:cs="Times New Roman"/>
              </w:rPr>
              <w:t xml:space="preserve"> </w:t>
            </w:r>
          </w:p>
          <w:p w:rsidR="00266624" w:rsidRPr="00D72570" w:rsidRDefault="00266624" w:rsidP="00266624">
            <w:pPr>
              <w:rPr>
                <w:rFonts w:ascii="Times New Roman" w:hAnsi="Times New Roman" w:cs="Times New Roman"/>
              </w:rPr>
            </w:pPr>
          </w:p>
          <w:p w:rsidR="00266624" w:rsidRPr="00D72570" w:rsidRDefault="00266624" w:rsidP="00266624">
            <w:pPr>
              <w:rPr>
                <w:rFonts w:ascii="Times New Roman" w:hAnsi="Times New Roman" w:cs="Times New Roman"/>
              </w:rPr>
            </w:pPr>
          </w:p>
          <w:p w:rsidR="00266624" w:rsidRPr="00D72570" w:rsidRDefault="00266624" w:rsidP="00266624">
            <w:pPr>
              <w:rPr>
                <w:rFonts w:ascii="Times New Roman" w:hAnsi="Times New Roman" w:cs="Times New Roman"/>
              </w:rPr>
            </w:pPr>
          </w:p>
        </w:tc>
        <w:tc>
          <w:tcPr>
            <w:tcW w:w="754" w:type="dxa"/>
            <w:tcBorders>
              <w:left w:val="double" w:sz="4" w:space="0" w:color="auto"/>
            </w:tcBorders>
          </w:tcPr>
          <w:p w:rsidR="00266624" w:rsidRPr="00D72570" w:rsidRDefault="00266624" w:rsidP="00266624">
            <w:pPr>
              <w:rPr>
                <w:rFonts w:ascii="Times New Roman" w:hAnsi="Times New Roman" w:cs="Times New Roman"/>
                <w:highlight w:val="yellow"/>
              </w:rPr>
            </w:pPr>
            <w:r w:rsidRPr="00D72570">
              <w:rPr>
                <w:rFonts w:ascii="Times New Roman" w:hAnsi="Times New Roman" w:cs="Times New Roman"/>
              </w:rPr>
              <w:t>C</w:t>
            </w:r>
          </w:p>
        </w:tc>
        <w:tc>
          <w:tcPr>
            <w:tcW w:w="2486" w:type="dxa"/>
          </w:tcPr>
          <w:p w:rsidR="00266624" w:rsidRPr="00D72570" w:rsidRDefault="00DF2BD9" w:rsidP="00266624">
            <w:pPr>
              <w:rPr>
                <w:rFonts w:ascii="Times New Roman" w:hAnsi="Times New Roman" w:cs="Times New Roman"/>
              </w:rPr>
            </w:pPr>
            <w:r w:rsidRPr="00DF2BD9">
              <w:rPr>
                <w:rFonts w:ascii="Times New Roman" w:hAnsi="Times New Roman" w:cs="Times New Roman"/>
              </w:rPr>
              <w:t>There are published studies at varying levels of evidence, some with mechanistic rationale, but no prescribing actions are recommended because (a) dosing based on genetics convincingly makes no difference or (b) alternatives are unclear, possibly less effective, more toxic, or otherwise impractical. Most important for genes that are subject of other CPIC guidelines or genes that are commonly included in clinical or DTC tests.</w:t>
            </w:r>
          </w:p>
        </w:tc>
        <w:tc>
          <w:tcPr>
            <w:tcW w:w="2430" w:type="dxa"/>
          </w:tcPr>
          <w:p w:rsidR="00266624" w:rsidRPr="00D72570" w:rsidRDefault="00DF2BD9">
            <w:pPr>
              <w:rPr>
                <w:rFonts w:ascii="Times New Roman" w:hAnsi="Times New Roman" w:cs="Times New Roman"/>
              </w:rPr>
            </w:pPr>
            <w:r w:rsidRPr="00DF2BD9">
              <w:rPr>
                <w:rFonts w:ascii="Times New Roman" w:eastAsia="Times New Roman" w:hAnsi="Times New Roman" w:cs="Times New Roman"/>
                <w:kern w:val="24"/>
              </w:rPr>
              <w:t xml:space="preserve">There are published studies at varying levels of evidence, some with mechanistic rationale, but no prescribing actions are recommended because (a) dosing based on genetics </w:t>
            </w:r>
            <w:r w:rsidRPr="00D72570">
              <w:rPr>
                <w:rFonts w:ascii="Times New Roman" w:eastAsia="Times New Roman" w:hAnsi="Times New Roman" w:cs="Times New Roman"/>
                <w:kern w:val="24"/>
                <w:highlight w:val="yellow"/>
              </w:rPr>
              <w:t>makes no convincing difference</w:t>
            </w:r>
            <w:r>
              <w:rPr>
                <w:rFonts w:ascii="Times New Roman" w:eastAsia="Times New Roman" w:hAnsi="Times New Roman" w:cs="Times New Roman"/>
                <w:kern w:val="24"/>
              </w:rPr>
              <w:t xml:space="preserve">, </w:t>
            </w:r>
            <w:r w:rsidRPr="00DF2BD9">
              <w:rPr>
                <w:rFonts w:ascii="Times New Roman" w:eastAsia="Times New Roman" w:hAnsi="Times New Roman" w:cs="Times New Roman"/>
                <w:kern w:val="24"/>
              </w:rPr>
              <w:t>(</w:t>
            </w:r>
            <w:r>
              <w:rPr>
                <w:rFonts w:ascii="Times New Roman" w:eastAsia="Times New Roman" w:hAnsi="Times New Roman" w:cs="Times New Roman"/>
                <w:kern w:val="24"/>
              </w:rPr>
              <w:t>b</w:t>
            </w:r>
            <w:r w:rsidRPr="00DF2BD9">
              <w:rPr>
                <w:rFonts w:ascii="Times New Roman" w:eastAsia="Times New Roman" w:hAnsi="Times New Roman" w:cs="Times New Roman"/>
                <w:kern w:val="24"/>
              </w:rPr>
              <w:t xml:space="preserve">) alternatives are unclear, possibly less effective, more </w:t>
            </w:r>
            <w:r>
              <w:rPr>
                <w:rFonts w:ascii="Times New Roman" w:eastAsia="Times New Roman" w:hAnsi="Times New Roman" w:cs="Times New Roman"/>
                <w:kern w:val="24"/>
              </w:rPr>
              <w:t>toxic, or otherwise impractical, or</w:t>
            </w:r>
            <w:r>
              <w:t xml:space="preserve"> </w:t>
            </w:r>
            <w:r w:rsidRPr="00D72570">
              <w:rPr>
                <w:rFonts w:ascii="Times New Roman" w:eastAsia="Times New Roman" w:hAnsi="Times New Roman" w:cs="Times New Roman"/>
                <w:kern w:val="24"/>
                <w:highlight w:val="yellow"/>
              </w:rPr>
              <w:t>(c) few published studies or mostly weak evidence and clinical actions are unclear.</w:t>
            </w:r>
            <w:r w:rsidRPr="00DF2BD9">
              <w:rPr>
                <w:rFonts w:ascii="Times New Roman" w:eastAsia="Times New Roman" w:hAnsi="Times New Roman" w:cs="Times New Roman"/>
                <w:kern w:val="24"/>
              </w:rPr>
              <w:t xml:space="preserve">  Most important for genes that are subject of other CPIC guidelines or genes that are commonly included in clinical or DTC tests.</w:t>
            </w:r>
          </w:p>
        </w:tc>
      </w:tr>
    </w:tbl>
    <w:p w:rsidR="002C7C24" w:rsidRDefault="002C7C24" w:rsidP="002C7C24">
      <w:pPr>
        <w:rPr>
          <w:rFonts w:ascii="Calibri" w:eastAsia="Times New Roman" w:hAnsi="Calibri" w:cs="Calibri"/>
        </w:rPr>
      </w:pPr>
    </w:p>
    <w:p w:rsidR="002C7C24" w:rsidRDefault="002C7C24" w:rsidP="002C7C24">
      <w:pPr>
        <w:rPr>
          <w:rFonts w:ascii="Calibri" w:eastAsia="Times New Roman" w:hAnsi="Calibri" w:cs="Calibri"/>
        </w:rPr>
      </w:pPr>
    </w:p>
    <w:p w:rsidR="00DB3126" w:rsidRDefault="00DB3126" w:rsidP="002C7C24">
      <w:pPr>
        <w:rPr>
          <w:rFonts w:ascii="Times New Roman" w:eastAsia="Times New Roman" w:hAnsi="Times New Roman" w:cs="Times New Roman"/>
          <w:b/>
          <w:sz w:val="24"/>
        </w:rPr>
        <w:sectPr w:rsidR="00DB3126" w:rsidSect="002C7C24">
          <w:pgSz w:w="15840" w:h="12240" w:orient="landscape"/>
          <w:pgMar w:top="1440" w:right="1440" w:bottom="1440" w:left="1440" w:header="720" w:footer="720" w:gutter="0"/>
          <w:cols w:space="720"/>
          <w:docGrid w:linePitch="360"/>
        </w:sectPr>
      </w:pPr>
    </w:p>
    <w:bookmarkStart w:id="0" w:name="_GoBack"/>
    <w:bookmarkEnd w:id="0"/>
    <w:p w:rsidR="008A58E1" w:rsidRDefault="00525E38" w:rsidP="00CD4F51">
      <w:pPr>
        <w:rPr>
          <w:rFonts w:ascii="Times New Roman" w:hAnsi="Times New Roman" w:cs="Times New Roman"/>
          <w:sz w:val="24"/>
        </w:rPr>
      </w:pPr>
      <w:r>
        <w:lastRenderedPageBreak/>
        <w:fldChar w:fldCharType="begin"/>
      </w:r>
      <w:r>
        <w:instrText xml:space="preserve"> HYPERLINK "https://www.asco.org/practice-guidelines/quality-guidelines/guidelines" </w:instrText>
      </w:r>
      <w:r>
        <w:fldChar w:fldCharType="separate"/>
      </w:r>
      <w:r w:rsidR="00CD4F51" w:rsidRPr="00F234B5">
        <w:rPr>
          <w:rStyle w:val="Hyperlink"/>
          <w:rFonts w:ascii="Times New Roman" w:hAnsi="Times New Roman" w:cs="Times New Roman"/>
          <w:sz w:val="24"/>
        </w:rPr>
        <w:t>https://www.asco.org/practice-guidelines/quality-guidelines/guidelines</w:t>
      </w:r>
      <w:r>
        <w:rPr>
          <w:rStyle w:val="Hyperlink"/>
          <w:rFonts w:ascii="Times New Roman" w:hAnsi="Times New Roman" w:cs="Times New Roman"/>
          <w:sz w:val="24"/>
        </w:rPr>
        <w:fldChar w:fldCharType="end"/>
      </w:r>
    </w:p>
    <w:p w:rsidR="00CD4F51" w:rsidRDefault="00525E38" w:rsidP="00CD4F51">
      <w:pPr>
        <w:rPr>
          <w:rFonts w:ascii="Times New Roman" w:hAnsi="Times New Roman" w:cs="Times New Roman"/>
          <w:sz w:val="24"/>
        </w:rPr>
      </w:pPr>
      <w:hyperlink r:id="rId5" w:history="1">
        <w:r w:rsidR="00CD4F51" w:rsidRPr="00F234B5">
          <w:rPr>
            <w:rStyle w:val="Hyperlink"/>
            <w:rFonts w:ascii="Times New Roman" w:hAnsi="Times New Roman" w:cs="Times New Roman"/>
            <w:sz w:val="24"/>
          </w:rPr>
          <w:t>http://www.nap.edu/catalog/13058/clinical-practice-guidelines-we-can-trust</w:t>
        </w:r>
      </w:hyperlink>
    </w:p>
    <w:p w:rsidR="00CD4F51" w:rsidRDefault="00525E38" w:rsidP="00CD4F51">
      <w:pPr>
        <w:rPr>
          <w:rFonts w:ascii="Times New Roman" w:hAnsi="Times New Roman" w:cs="Times New Roman"/>
          <w:sz w:val="24"/>
        </w:rPr>
      </w:pPr>
      <w:hyperlink r:id="rId6" w:history="1">
        <w:r w:rsidR="00CD4F51" w:rsidRPr="00CD4F51">
          <w:rPr>
            <w:rStyle w:val="Hyperlink"/>
            <w:rFonts w:ascii="Times New Roman" w:hAnsi="Times New Roman" w:cs="Times New Roman"/>
            <w:sz w:val="24"/>
          </w:rPr>
          <w:t>https://aidsinfo.nih.gov/guidelines/html/1/adult-and-adolescent-treatment-guidelines/</w:t>
        </w:r>
        <w:r w:rsidR="00CD4F51" w:rsidRPr="00F234B5">
          <w:rPr>
            <w:rStyle w:val="Hyperlink"/>
            <w:rFonts w:ascii="Times New Roman" w:hAnsi="Times New Roman" w:cs="Times New Roman"/>
            <w:sz w:val="24"/>
          </w:rPr>
          <w:t>0</w:t>
        </w:r>
      </w:hyperlink>
    </w:p>
    <w:p w:rsidR="00CD4F51" w:rsidRPr="00A82CFA" w:rsidRDefault="00CD4F51" w:rsidP="00CD4F51">
      <w:pPr>
        <w:rPr>
          <w:rFonts w:ascii="Times New Roman" w:hAnsi="Times New Roman" w:cs="Times New Roman"/>
          <w:sz w:val="24"/>
        </w:rPr>
      </w:pPr>
    </w:p>
    <w:sectPr w:rsidR="00CD4F51" w:rsidRPr="00A82CFA" w:rsidSect="002C7C2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DC3"/>
    <w:rsid w:val="00257DC9"/>
    <w:rsid w:val="00266624"/>
    <w:rsid w:val="002B569B"/>
    <w:rsid w:val="002C7C24"/>
    <w:rsid w:val="003205BE"/>
    <w:rsid w:val="00351909"/>
    <w:rsid w:val="003D0D3B"/>
    <w:rsid w:val="00525E38"/>
    <w:rsid w:val="008D06E9"/>
    <w:rsid w:val="009B604A"/>
    <w:rsid w:val="00A27B42"/>
    <w:rsid w:val="00A37094"/>
    <w:rsid w:val="00A82CFA"/>
    <w:rsid w:val="00B03A78"/>
    <w:rsid w:val="00BE477F"/>
    <w:rsid w:val="00CD4F51"/>
    <w:rsid w:val="00D00CB7"/>
    <w:rsid w:val="00D72570"/>
    <w:rsid w:val="00DB3126"/>
    <w:rsid w:val="00DE2DC3"/>
    <w:rsid w:val="00DF2BD9"/>
    <w:rsid w:val="00EA3167"/>
    <w:rsid w:val="00EC3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F1C0A-E71A-478D-903E-C52A5246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2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C7C24"/>
  </w:style>
  <w:style w:type="character" w:styleId="Hyperlink">
    <w:name w:val="Hyperlink"/>
    <w:basedOn w:val="DefaultParagraphFont"/>
    <w:uiPriority w:val="99"/>
    <w:unhideWhenUsed/>
    <w:rsid w:val="00A82CFA"/>
    <w:rPr>
      <w:color w:val="0563C1" w:themeColor="hyperlink"/>
      <w:u w:val="single"/>
    </w:rPr>
  </w:style>
  <w:style w:type="paragraph" w:styleId="BalloonText">
    <w:name w:val="Balloon Text"/>
    <w:basedOn w:val="Normal"/>
    <w:link w:val="BalloonTextChar"/>
    <w:uiPriority w:val="99"/>
    <w:semiHidden/>
    <w:unhideWhenUsed/>
    <w:rsid w:val="002666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6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14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idsinfo.nih.gov/guidelines/html/1/adult-and-adolescent-treatment-guidelines/0" TargetMode="External"/><Relationship Id="rId5" Type="http://schemas.openxmlformats.org/officeDocument/2006/relationships/hyperlink" Target="http://www.nap.edu/catalog/13058/clinical-practice-guidelines-we-can-trust" TargetMode="External"/><Relationship Id="rId4" Type="http://schemas.openxmlformats.org/officeDocument/2006/relationships/hyperlink" Target="https://cpicpgx.org/genes-dru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SJCRH</Company>
  <LinksUpToDate>false</LinksUpToDate>
  <CharactersWithSpaces>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Relling, Mary</dc:creator>
  <cp:keywords/>
  <dc:description/>
  <cp:lastModifiedBy>Caudle, Kelly</cp:lastModifiedBy>
  <cp:revision>4</cp:revision>
  <dcterms:created xsi:type="dcterms:W3CDTF">2016-08-12T15:24:00Z</dcterms:created>
  <dcterms:modified xsi:type="dcterms:W3CDTF">2016-08-15T14:15:00Z</dcterms:modified>
</cp:coreProperties>
</file>