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971948">
        <w:rPr>
          <w:rFonts w:asciiTheme="majorHAnsi" w:hAnsiTheme="majorHAnsi"/>
          <w:szCs w:val="22"/>
        </w:rPr>
        <w:t>October 6, 2016</w:t>
      </w:r>
    </w:p>
    <w:p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462"/>
        <w:gridCol w:w="4132"/>
      </w:tblGrid>
      <w:tr w:rsidR="009735AD" w:rsidRPr="0029562D" w:rsidTr="009D06E4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D92FAD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Housekeeping Announcements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B09" w:rsidRPr="0029562D" w:rsidRDefault="00D92FAD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336A" w:rsidRPr="0029562D" w:rsidRDefault="007A61E2" w:rsidP="007A61E2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Rose will send the poll link.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7A61E2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G</w:t>
            </w:r>
            <w:r w:rsidR="00F63129">
              <w:rPr>
                <w:rFonts w:asciiTheme="majorHAnsi" w:hAnsiTheme="majorHAnsi"/>
                <w:szCs w:val="22"/>
              </w:rPr>
              <w:t>uidelines in Progress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7A61E2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Rose provided an update on CPIC guideline </w:t>
            </w:r>
            <w:r w:rsidR="00AD1B3C">
              <w:rPr>
                <w:rFonts w:asciiTheme="majorHAnsi" w:hAnsiTheme="majorHAnsi"/>
                <w:szCs w:val="22"/>
              </w:rPr>
              <w:t xml:space="preserve">development.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:rsidR="007A61E2" w:rsidRDefault="007A61E2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7A61E2" w:rsidRDefault="007A61E2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 updates in progress:</w:t>
            </w:r>
          </w:p>
          <w:p w:rsidR="007A61E2" w:rsidRDefault="007A61E2" w:rsidP="007A61E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CYP2C9, VKORC1</w:t>
            </w:r>
            <w:r>
              <w:rPr>
                <w:rFonts w:asciiTheme="majorHAnsi" w:hAnsiTheme="majorHAnsi"/>
                <w:szCs w:val="22"/>
              </w:rPr>
              <w:t>/warfarin: drafting manuscript</w:t>
            </w:r>
          </w:p>
          <w:p w:rsidR="007A61E2" w:rsidRDefault="007A61E2" w:rsidP="007A61E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CYP2D6, CYP2C19</w:t>
            </w:r>
            <w:r>
              <w:rPr>
                <w:rFonts w:asciiTheme="majorHAnsi" w:hAnsiTheme="majorHAnsi"/>
                <w:szCs w:val="22"/>
              </w:rPr>
              <w:t xml:space="preserve">/TCAs: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7A61E2" w:rsidRDefault="007A61E2" w:rsidP="007A61E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HLA-B</w:t>
            </w:r>
            <w:r>
              <w:rPr>
                <w:rFonts w:asciiTheme="majorHAnsi" w:hAnsiTheme="majorHAnsi"/>
                <w:szCs w:val="22"/>
              </w:rPr>
              <w:t xml:space="preserve">/carbamazepine: evidence review underway </w:t>
            </w:r>
          </w:p>
          <w:p w:rsidR="007A61E2" w:rsidRPr="007A61E2" w:rsidRDefault="007A61E2" w:rsidP="007A61E2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DPYD</w:t>
            </w:r>
            <w:r>
              <w:rPr>
                <w:rFonts w:asciiTheme="majorHAnsi" w:hAnsiTheme="majorHAnsi"/>
                <w:szCs w:val="22"/>
              </w:rPr>
              <w:t>/5-FU, capecitabine: evidence review underway</w:t>
            </w:r>
          </w:p>
          <w:p w:rsidR="007A61E2" w:rsidRDefault="007A61E2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7A61E2" w:rsidRDefault="007A61E2" w:rsidP="007A61E2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New guidelines in progress: </w:t>
            </w:r>
          </w:p>
          <w:p w:rsidR="007A61E2" w:rsidRDefault="007A61E2" w:rsidP="007A61E2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CYP2C19</w:t>
            </w:r>
            <w:r>
              <w:rPr>
                <w:rFonts w:asciiTheme="majorHAnsi" w:hAnsiTheme="majorHAnsi"/>
                <w:szCs w:val="22"/>
              </w:rPr>
              <w:t xml:space="preserve">/voriconazole: </w:t>
            </w:r>
            <w:r w:rsidR="00AD1B3C">
              <w:rPr>
                <w:rFonts w:asciiTheme="majorHAnsi" w:hAnsiTheme="majorHAnsi"/>
                <w:szCs w:val="22"/>
              </w:rPr>
              <w:t xml:space="preserve">in </w:t>
            </w:r>
            <w:r w:rsidR="00AD1B3C">
              <w:rPr>
                <w:rFonts w:asciiTheme="majorHAnsi" w:hAnsiTheme="majorHAnsi"/>
                <w:i/>
                <w:szCs w:val="22"/>
              </w:rPr>
              <w:t xml:space="preserve">CPT </w:t>
            </w:r>
            <w:r w:rsidR="00AD1B3C">
              <w:rPr>
                <w:rFonts w:asciiTheme="majorHAnsi" w:hAnsiTheme="majorHAnsi"/>
                <w:szCs w:val="22"/>
              </w:rPr>
              <w:t>review</w:t>
            </w:r>
          </w:p>
          <w:p w:rsidR="00AD1B3C" w:rsidRDefault="00AD1B3C" w:rsidP="007A61E2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/tamoxifen: evidence review nearing completion </w:t>
            </w:r>
          </w:p>
          <w:p w:rsidR="00AD1B3C" w:rsidRDefault="00AD1B3C" w:rsidP="007A61E2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CYP2D6</w:t>
            </w:r>
            <w:r>
              <w:rPr>
                <w:rFonts w:asciiTheme="majorHAnsi" w:hAnsiTheme="majorHAnsi"/>
                <w:szCs w:val="22"/>
              </w:rPr>
              <w:t xml:space="preserve">/ondansetron: in </w:t>
            </w:r>
            <w:r>
              <w:rPr>
                <w:rFonts w:asciiTheme="majorHAnsi" w:hAnsiTheme="majorHAnsi"/>
                <w:i/>
                <w:szCs w:val="22"/>
              </w:rPr>
              <w:t xml:space="preserve">CPT </w:t>
            </w:r>
            <w:r>
              <w:rPr>
                <w:rFonts w:asciiTheme="majorHAnsi" w:hAnsiTheme="majorHAnsi"/>
                <w:szCs w:val="22"/>
              </w:rPr>
              <w:t>review</w:t>
            </w:r>
          </w:p>
          <w:p w:rsidR="00AD1B3C" w:rsidRDefault="00AD1B3C" w:rsidP="007A61E2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RYR1</w:t>
            </w:r>
            <w:r>
              <w:rPr>
                <w:rFonts w:asciiTheme="majorHAnsi" w:hAnsiTheme="majorHAnsi"/>
                <w:szCs w:val="22"/>
              </w:rPr>
              <w:t>/inhaled anesthetics: evidence review underway</w:t>
            </w:r>
          </w:p>
          <w:p w:rsidR="007A61E2" w:rsidRPr="00E92A2C" w:rsidRDefault="00AD1B3C" w:rsidP="007A61E2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CYP2B6</w:t>
            </w:r>
            <w:r>
              <w:rPr>
                <w:rFonts w:asciiTheme="majorHAnsi" w:hAnsiTheme="majorHAnsi"/>
                <w:szCs w:val="22"/>
              </w:rPr>
              <w:t xml:space="preserve">/efavirenz: authorship plan underway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AD1B3C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n/a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F63129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Revisions to CPIC Definitions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AD1B3C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Mary reviewed the recent changes to the CPIC Level C definition, which can be viewed here: </w:t>
            </w:r>
            <w:hyperlink r:id="rId7" w:anchor="flowchart" w:history="1">
              <w:r w:rsidRPr="00342030">
                <w:rPr>
                  <w:rStyle w:val="Hyperlink"/>
                  <w:rFonts w:asciiTheme="majorHAnsi" w:hAnsiTheme="majorHAnsi"/>
                  <w:szCs w:val="22"/>
                </w:rPr>
                <w:t>https://cpicpgx.org/prioritization/#flowchart</w:t>
              </w:r>
            </w:hyperlink>
          </w:p>
          <w:p w:rsidR="00AD1B3C" w:rsidRDefault="00AD1B3C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AD1B3C" w:rsidRDefault="00AD1B3C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We have added “No recommendation” as an option for </w:t>
            </w:r>
            <w:r w:rsidR="00245B35">
              <w:rPr>
                <w:rFonts w:asciiTheme="majorHAnsi" w:hAnsiTheme="majorHAnsi"/>
                <w:szCs w:val="22"/>
              </w:rPr>
              <w:t xml:space="preserve">CPIC guideline recommendations, </w:t>
            </w:r>
            <w:r>
              <w:rPr>
                <w:rFonts w:asciiTheme="majorHAnsi" w:hAnsiTheme="majorHAnsi"/>
                <w:szCs w:val="22"/>
              </w:rPr>
              <w:t>in addition to strong, moderate</w:t>
            </w:r>
            <w:r w:rsidR="00245B35">
              <w:rPr>
                <w:rFonts w:asciiTheme="majorHAnsi" w:hAnsiTheme="majorHAnsi"/>
                <w:szCs w:val="22"/>
              </w:rPr>
              <w:t>, and optional recommendations.</w:t>
            </w:r>
            <w:r>
              <w:rPr>
                <w:rFonts w:asciiTheme="majorHAnsi" w:hAnsiTheme="majorHAnsi"/>
                <w:szCs w:val="22"/>
              </w:rPr>
              <w:t xml:space="preserve">  Definitions for each of these levels can be viewed here: </w:t>
            </w:r>
            <w:hyperlink r:id="rId8" w:history="1">
              <w:r w:rsidRPr="00342030">
                <w:rPr>
                  <w:rStyle w:val="Hyperlink"/>
                  <w:rFonts w:asciiTheme="majorHAnsi" w:hAnsiTheme="majorHAnsi"/>
                  <w:szCs w:val="22"/>
                </w:rPr>
                <w:t>https://cpicpgx.org/strength-of-recommendations/</w:t>
              </w:r>
            </w:hyperlink>
          </w:p>
          <w:p w:rsidR="00AD1B3C" w:rsidRDefault="00AD1B3C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245B35" w:rsidRDefault="00AD1B3C" w:rsidP="00245B3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Definitions for the strength of evidence (high, moderate, weak)</w:t>
            </w:r>
            <w:r w:rsidR="00245B35">
              <w:rPr>
                <w:rFonts w:asciiTheme="majorHAnsi" w:hAnsiTheme="majorHAnsi"/>
                <w:szCs w:val="22"/>
              </w:rPr>
              <w:t xml:space="preserve"> linking genotype to phenotype</w:t>
            </w:r>
            <w:r>
              <w:rPr>
                <w:rFonts w:asciiTheme="majorHAnsi" w:hAnsiTheme="majorHAnsi"/>
                <w:szCs w:val="22"/>
              </w:rPr>
              <w:t xml:space="preserve"> can </w:t>
            </w:r>
            <w:r w:rsidR="00245B35">
              <w:rPr>
                <w:rFonts w:asciiTheme="majorHAnsi" w:hAnsiTheme="majorHAnsi"/>
                <w:szCs w:val="22"/>
              </w:rPr>
              <w:t xml:space="preserve">be viewed here: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hyperlink r:id="rId9" w:history="1">
              <w:r w:rsidR="00245B35" w:rsidRPr="00342030">
                <w:rPr>
                  <w:rStyle w:val="Hyperlink"/>
                  <w:rFonts w:asciiTheme="majorHAnsi" w:hAnsiTheme="majorHAnsi"/>
                  <w:szCs w:val="22"/>
                </w:rPr>
                <w:t>https://cpicpgx.org/levels-of-evidence/</w:t>
              </w:r>
            </w:hyperlink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245B35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n/a</w:t>
            </w:r>
          </w:p>
        </w:tc>
      </w:tr>
      <w:tr w:rsidR="00971948" w:rsidRPr="0029562D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F63129" w:rsidP="006E5188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Prioritization of Genes and Drugs for CPIC Guideline Development 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Default="00245B35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Rose reviewed the process for prioritizing genes and drugs for CPIC guideline development and assigning a CPIC level to a gene/drug pair, as outlined in the flowchart found on the CPIC website: </w:t>
            </w:r>
            <w:hyperlink r:id="rId10" w:anchor="flowchart" w:history="1">
              <w:r w:rsidRPr="00342030">
                <w:rPr>
                  <w:rStyle w:val="Hyperlink"/>
                  <w:rFonts w:asciiTheme="majorHAnsi" w:hAnsiTheme="majorHAnsi"/>
                  <w:szCs w:val="22"/>
                </w:rPr>
                <w:t>https://cpicpgx.org/prioritization/#flowchart</w:t>
              </w:r>
            </w:hyperlink>
          </w:p>
          <w:p w:rsidR="00245B35" w:rsidRDefault="00245B35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  <w:p w:rsidR="00245B35" w:rsidRPr="00245B35" w:rsidRDefault="00245B35" w:rsidP="00D92FAD">
            <w:pPr>
              <w:widowControl/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ABCB1</w:t>
            </w:r>
            <w:r>
              <w:rPr>
                <w:rFonts w:asciiTheme="majorHAnsi" w:hAnsiTheme="majorHAnsi"/>
                <w:szCs w:val="22"/>
              </w:rPr>
              <w:t xml:space="preserve">/antidepressants was used as an example to illustrate this process.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1948" w:rsidRPr="00245B35" w:rsidRDefault="00245B35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i/>
                <w:szCs w:val="22"/>
              </w:rPr>
              <w:t>ABCB1</w:t>
            </w:r>
            <w:r>
              <w:rPr>
                <w:rFonts w:asciiTheme="majorHAnsi" w:hAnsiTheme="majorHAnsi"/>
                <w:szCs w:val="22"/>
              </w:rPr>
              <w:t xml:space="preserve">/antidepressants </w:t>
            </w:r>
            <w:r w:rsidR="00D2322E">
              <w:rPr>
                <w:rFonts w:asciiTheme="majorHAnsi" w:hAnsiTheme="majorHAnsi"/>
                <w:szCs w:val="22"/>
              </w:rPr>
              <w:t>will be considered as the topic of a</w:t>
            </w:r>
            <w:r>
              <w:rPr>
                <w:rFonts w:asciiTheme="majorHAnsi" w:hAnsiTheme="majorHAnsi"/>
                <w:szCs w:val="22"/>
              </w:rPr>
              <w:t xml:space="preserve"> future CPIC guideline. </w:t>
            </w:r>
          </w:p>
        </w:tc>
      </w:tr>
    </w:tbl>
    <w:p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F94" w:rsidRDefault="00DE5F94" w:rsidP="00E00679">
      <w:r>
        <w:separator/>
      </w:r>
    </w:p>
  </w:endnote>
  <w:endnote w:type="continuationSeparator" w:id="0">
    <w:p w:rsidR="00DE5F94" w:rsidRDefault="00DE5F94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F94" w:rsidRDefault="00DE5F94" w:rsidP="00E00679">
      <w:r>
        <w:separator/>
      </w:r>
    </w:p>
  </w:footnote>
  <w:footnote w:type="continuationSeparator" w:id="0">
    <w:p w:rsidR="00DE5F94" w:rsidRDefault="00DE5F94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890616"/>
    <w:multiLevelType w:val="hybridMultilevel"/>
    <w:tmpl w:val="2DE8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2917"/>
    <w:multiLevelType w:val="hybridMultilevel"/>
    <w:tmpl w:val="3052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4"/>
  </w:num>
  <w:num w:numId="12">
    <w:abstractNumId w:val="17"/>
  </w:num>
  <w:num w:numId="13">
    <w:abstractNumId w:val="12"/>
  </w:num>
  <w:num w:numId="14">
    <w:abstractNumId w:val="23"/>
  </w:num>
  <w:num w:numId="15">
    <w:abstractNumId w:val="1"/>
  </w:num>
  <w:num w:numId="16">
    <w:abstractNumId w:val="13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2"/>
  </w:num>
  <w:num w:numId="24">
    <w:abstractNumId w:val="3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5"/>
  </w:num>
  <w:num w:numId="30">
    <w:abstractNumId w:val="6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4033"/>
    <w:rsid w:val="00005930"/>
    <w:rsid w:val="00006B63"/>
    <w:rsid w:val="000074D1"/>
    <w:rsid w:val="000129DC"/>
    <w:rsid w:val="00013AB5"/>
    <w:rsid w:val="000158C6"/>
    <w:rsid w:val="00021E0F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75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B7098"/>
    <w:rsid w:val="000C0537"/>
    <w:rsid w:val="000C42EF"/>
    <w:rsid w:val="000D236B"/>
    <w:rsid w:val="000D27D4"/>
    <w:rsid w:val="000D50F5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76534"/>
    <w:rsid w:val="001810E5"/>
    <w:rsid w:val="001919B6"/>
    <w:rsid w:val="00195B1A"/>
    <w:rsid w:val="00197429"/>
    <w:rsid w:val="001A118A"/>
    <w:rsid w:val="001A4F87"/>
    <w:rsid w:val="001A5696"/>
    <w:rsid w:val="001A7570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1F4938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5B35"/>
    <w:rsid w:val="00246A2E"/>
    <w:rsid w:val="00247AB2"/>
    <w:rsid w:val="00247B80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64D33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18D0"/>
    <w:rsid w:val="0029562D"/>
    <w:rsid w:val="002A3600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E4B90"/>
    <w:rsid w:val="002F0507"/>
    <w:rsid w:val="002F42FE"/>
    <w:rsid w:val="002F5897"/>
    <w:rsid w:val="002F6696"/>
    <w:rsid w:val="00311421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3F94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49CB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31A0D"/>
    <w:rsid w:val="004330AE"/>
    <w:rsid w:val="00440382"/>
    <w:rsid w:val="00441E8B"/>
    <w:rsid w:val="00445D26"/>
    <w:rsid w:val="00447592"/>
    <w:rsid w:val="00457553"/>
    <w:rsid w:val="00457A70"/>
    <w:rsid w:val="00461127"/>
    <w:rsid w:val="004661C5"/>
    <w:rsid w:val="00466EC5"/>
    <w:rsid w:val="00470901"/>
    <w:rsid w:val="0047251D"/>
    <w:rsid w:val="00474B97"/>
    <w:rsid w:val="00475027"/>
    <w:rsid w:val="00475396"/>
    <w:rsid w:val="00476BF7"/>
    <w:rsid w:val="00477418"/>
    <w:rsid w:val="00481D24"/>
    <w:rsid w:val="004828EF"/>
    <w:rsid w:val="00485DCF"/>
    <w:rsid w:val="00490568"/>
    <w:rsid w:val="004A0365"/>
    <w:rsid w:val="004A17C9"/>
    <w:rsid w:val="004A3074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564D"/>
    <w:rsid w:val="005A7E37"/>
    <w:rsid w:val="005B112E"/>
    <w:rsid w:val="005B3DCC"/>
    <w:rsid w:val="005B4621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507B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10A1B"/>
    <w:rsid w:val="00612211"/>
    <w:rsid w:val="00612EFF"/>
    <w:rsid w:val="00614A73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3C95"/>
    <w:rsid w:val="00675725"/>
    <w:rsid w:val="0067768F"/>
    <w:rsid w:val="00683E8A"/>
    <w:rsid w:val="00685E2C"/>
    <w:rsid w:val="0068694A"/>
    <w:rsid w:val="00686A72"/>
    <w:rsid w:val="006915FD"/>
    <w:rsid w:val="00692226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700E35"/>
    <w:rsid w:val="00701CF3"/>
    <w:rsid w:val="00706062"/>
    <w:rsid w:val="00706BE9"/>
    <w:rsid w:val="007322E1"/>
    <w:rsid w:val="007322E3"/>
    <w:rsid w:val="007339B7"/>
    <w:rsid w:val="00733F20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1E2"/>
    <w:rsid w:val="007A669C"/>
    <w:rsid w:val="007A6793"/>
    <w:rsid w:val="007B1CE4"/>
    <w:rsid w:val="007B51C8"/>
    <w:rsid w:val="007B5F12"/>
    <w:rsid w:val="007C1FAB"/>
    <w:rsid w:val="007D06F9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4854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0606"/>
    <w:rsid w:val="00934E8E"/>
    <w:rsid w:val="00940918"/>
    <w:rsid w:val="009420E8"/>
    <w:rsid w:val="00944FD6"/>
    <w:rsid w:val="00946402"/>
    <w:rsid w:val="0095044E"/>
    <w:rsid w:val="00950DAB"/>
    <w:rsid w:val="00953AC3"/>
    <w:rsid w:val="00963503"/>
    <w:rsid w:val="00964673"/>
    <w:rsid w:val="00967C8F"/>
    <w:rsid w:val="00971813"/>
    <w:rsid w:val="00971948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06E4"/>
    <w:rsid w:val="009D7EB6"/>
    <w:rsid w:val="009E153F"/>
    <w:rsid w:val="009E3F07"/>
    <w:rsid w:val="009E53A6"/>
    <w:rsid w:val="00A0374D"/>
    <w:rsid w:val="00A10508"/>
    <w:rsid w:val="00A1261B"/>
    <w:rsid w:val="00A149F5"/>
    <w:rsid w:val="00A21478"/>
    <w:rsid w:val="00A2283D"/>
    <w:rsid w:val="00A24940"/>
    <w:rsid w:val="00A25BC3"/>
    <w:rsid w:val="00A25CA6"/>
    <w:rsid w:val="00A30FD5"/>
    <w:rsid w:val="00A326FF"/>
    <w:rsid w:val="00A36B4C"/>
    <w:rsid w:val="00A36F1E"/>
    <w:rsid w:val="00A41252"/>
    <w:rsid w:val="00A41A98"/>
    <w:rsid w:val="00A41AB6"/>
    <w:rsid w:val="00A44330"/>
    <w:rsid w:val="00A46308"/>
    <w:rsid w:val="00A5028E"/>
    <w:rsid w:val="00A51341"/>
    <w:rsid w:val="00A517FE"/>
    <w:rsid w:val="00A5516F"/>
    <w:rsid w:val="00A55C6A"/>
    <w:rsid w:val="00A60F7E"/>
    <w:rsid w:val="00A612DB"/>
    <w:rsid w:val="00A63E0F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1B3C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1948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62DE"/>
    <w:rsid w:val="00BD1CDA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45C8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24EF"/>
    <w:rsid w:val="00C943B1"/>
    <w:rsid w:val="00C96676"/>
    <w:rsid w:val="00CA09B7"/>
    <w:rsid w:val="00CA1D20"/>
    <w:rsid w:val="00CA36A9"/>
    <w:rsid w:val="00CA43E4"/>
    <w:rsid w:val="00CD3200"/>
    <w:rsid w:val="00CD7A7D"/>
    <w:rsid w:val="00CE00D1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2322E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0295"/>
    <w:rsid w:val="00DE4071"/>
    <w:rsid w:val="00DE4C9F"/>
    <w:rsid w:val="00DE5CF4"/>
    <w:rsid w:val="00DE5F94"/>
    <w:rsid w:val="00DE6B38"/>
    <w:rsid w:val="00DF07B3"/>
    <w:rsid w:val="00DF27D3"/>
    <w:rsid w:val="00DF3C8D"/>
    <w:rsid w:val="00DF46F0"/>
    <w:rsid w:val="00E00679"/>
    <w:rsid w:val="00E01179"/>
    <w:rsid w:val="00E014D5"/>
    <w:rsid w:val="00E04A81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A2C"/>
    <w:rsid w:val="00E92E73"/>
    <w:rsid w:val="00E95A36"/>
    <w:rsid w:val="00EA2223"/>
    <w:rsid w:val="00EA6DD3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2C72"/>
    <w:rsid w:val="00EE5EDB"/>
    <w:rsid w:val="00EF1222"/>
    <w:rsid w:val="00EF1546"/>
    <w:rsid w:val="00EF42A6"/>
    <w:rsid w:val="00EF48DB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129"/>
    <w:rsid w:val="00F63D20"/>
    <w:rsid w:val="00F65564"/>
    <w:rsid w:val="00F657C2"/>
    <w:rsid w:val="00F65DEC"/>
    <w:rsid w:val="00F66DE5"/>
    <w:rsid w:val="00F7253A"/>
    <w:rsid w:val="00F77715"/>
    <w:rsid w:val="00F9196D"/>
    <w:rsid w:val="00F939C4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583"/>
    <w:rsid w:val="00FD16A0"/>
    <w:rsid w:val="00FD4C23"/>
    <w:rsid w:val="00FD69A3"/>
    <w:rsid w:val="00FD721F"/>
    <w:rsid w:val="00FE1A8B"/>
    <w:rsid w:val="00FE1B4C"/>
    <w:rsid w:val="00FE7D5C"/>
    <w:rsid w:val="00FF0140"/>
    <w:rsid w:val="00FF1406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3C48A-B737-4AF5-8952-414D6E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paragraph" w:customStyle="1" w:styleId="Default">
    <w:name w:val="Default"/>
    <w:rsid w:val="00733F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icpgx.org/strength-of-recommend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icpgx.org/prioritiz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picpgx.org/prioritiz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icpgx.org/levels-of-evid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2</cp:revision>
  <cp:lastPrinted>2014-02-17T17:58:00Z</cp:lastPrinted>
  <dcterms:created xsi:type="dcterms:W3CDTF">2016-11-21T17:32:00Z</dcterms:created>
  <dcterms:modified xsi:type="dcterms:W3CDTF">2016-11-21T17:32:00Z</dcterms:modified>
</cp:coreProperties>
</file>