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53EEA245" w14:textId="44FC6ED4"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EF45C0">
        <w:rPr>
          <w:rFonts w:asciiTheme="majorHAnsi" w:hAnsiTheme="majorHAnsi"/>
          <w:szCs w:val="22"/>
        </w:rPr>
        <w:t>September 6</w:t>
      </w:r>
      <w:r w:rsidR="00F21906">
        <w:rPr>
          <w:rFonts w:asciiTheme="majorHAnsi" w:hAnsiTheme="majorHAnsi"/>
          <w:szCs w:val="22"/>
        </w:rPr>
        <w:t>, 2018</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F65E83"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F65E83" w:rsidRDefault="009735AD" w:rsidP="005F6406">
            <w:pPr>
              <w:tabs>
                <w:tab w:val="left" w:pos="-388"/>
                <w:tab w:val="left" w:pos="0"/>
                <w:tab w:val="left" w:pos="450"/>
              </w:tabs>
              <w:spacing w:after="58"/>
              <w:rPr>
                <w:rFonts w:asciiTheme="majorHAnsi" w:hAnsiTheme="majorHAnsi"/>
                <w:sz w:val="24"/>
                <w:szCs w:val="24"/>
              </w:rPr>
            </w:pPr>
            <w:r w:rsidRPr="00F65E83">
              <w:rPr>
                <w:rFonts w:asciiTheme="majorHAnsi" w:hAnsiTheme="majorHAnsi"/>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F65E83" w:rsidRDefault="009735AD" w:rsidP="005F6406">
            <w:pPr>
              <w:tabs>
                <w:tab w:val="left" w:pos="-388"/>
                <w:tab w:val="left" w:pos="0"/>
                <w:tab w:val="left" w:pos="450"/>
              </w:tabs>
              <w:spacing w:after="58"/>
              <w:rPr>
                <w:rFonts w:asciiTheme="majorHAnsi" w:hAnsiTheme="majorHAnsi"/>
                <w:sz w:val="24"/>
                <w:szCs w:val="24"/>
              </w:rPr>
            </w:pPr>
            <w:r w:rsidRPr="00F65E83">
              <w:rPr>
                <w:rFonts w:asciiTheme="majorHAnsi" w:hAnsiTheme="majorHAnsi"/>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F65E83" w:rsidRDefault="009735AD" w:rsidP="005F6406">
            <w:pPr>
              <w:tabs>
                <w:tab w:val="left" w:pos="-388"/>
                <w:tab w:val="left" w:pos="0"/>
                <w:tab w:val="left" w:pos="450"/>
              </w:tabs>
              <w:spacing w:after="58"/>
              <w:rPr>
                <w:rFonts w:asciiTheme="majorHAnsi" w:hAnsiTheme="majorHAnsi"/>
                <w:sz w:val="24"/>
                <w:szCs w:val="24"/>
              </w:rPr>
            </w:pPr>
            <w:r w:rsidRPr="00F65E83">
              <w:rPr>
                <w:rFonts w:asciiTheme="majorHAnsi" w:hAnsiTheme="majorHAnsi"/>
                <w:sz w:val="24"/>
                <w:szCs w:val="24"/>
              </w:rPr>
              <w:t>FOLLOW-UP</w:t>
            </w:r>
          </w:p>
        </w:tc>
      </w:tr>
      <w:tr w:rsidR="00ED336A" w:rsidRPr="00F65E83"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F65E83" w:rsidRDefault="00D92FAD" w:rsidP="006E5188">
            <w:pPr>
              <w:widowControl/>
              <w:rPr>
                <w:rFonts w:asciiTheme="majorHAnsi" w:hAnsiTheme="majorHAnsi"/>
                <w:sz w:val="24"/>
                <w:szCs w:val="24"/>
              </w:rPr>
            </w:pPr>
            <w:r w:rsidRPr="00F65E83">
              <w:rPr>
                <w:rFonts w:asciiTheme="majorHAnsi" w:hAnsiTheme="maj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F65E83" w:rsidRDefault="00D92FAD" w:rsidP="00D92FAD">
            <w:pPr>
              <w:widowControl/>
              <w:rPr>
                <w:rFonts w:asciiTheme="majorHAnsi" w:hAnsiTheme="majorHAnsi"/>
                <w:sz w:val="24"/>
                <w:szCs w:val="24"/>
              </w:rPr>
            </w:pPr>
            <w:r w:rsidRPr="00F65E83">
              <w:rPr>
                <w:rFonts w:asciiTheme="majorHAnsi" w:hAnsiTheme="majorHAnsi"/>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F65E83" w:rsidRDefault="00F604B6" w:rsidP="007A61E2">
            <w:pPr>
              <w:pStyle w:val="ListParagraph"/>
              <w:widowControl/>
              <w:tabs>
                <w:tab w:val="left" w:pos="526"/>
                <w:tab w:val="left" w:pos="1102"/>
                <w:tab w:val="left" w:pos="1627"/>
                <w:tab w:val="left" w:pos="2152"/>
              </w:tabs>
              <w:ind w:left="0"/>
              <w:rPr>
                <w:rFonts w:asciiTheme="majorHAnsi" w:hAnsiTheme="majorHAnsi"/>
                <w:sz w:val="24"/>
                <w:szCs w:val="24"/>
              </w:rPr>
            </w:pPr>
            <w:r w:rsidRPr="00F65E83">
              <w:rPr>
                <w:rFonts w:asciiTheme="majorHAnsi" w:hAnsiTheme="majorHAnsi"/>
                <w:sz w:val="24"/>
                <w:szCs w:val="24"/>
              </w:rPr>
              <w:t xml:space="preserve">Kelly </w:t>
            </w:r>
            <w:r w:rsidR="007A61E2" w:rsidRPr="00F65E83">
              <w:rPr>
                <w:rFonts w:asciiTheme="majorHAnsi" w:hAnsiTheme="majorHAnsi"/>
                <w:sz w:val="24"/>
                <w:szCs w:val="24"/>
              </w:rPr>
              <w:t>will send the poll link.</w:t>
            </w:r>
          </w:p>
        </w:tc>
      </w:tr>
      <w:tr w:rsidR="00DA0C93" w:rsidRPr="00F65E83" w14:paraId="44008990"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26B4340" w14:textId="13E06646" w:rsidR="00DA0C93" w:rsidRPr="00F65E83" w:rsidRDefault="00EF45C0" w:rsidP="00654E76">
            <w:pPr>
              <w:widowControl/>
              <w:rPr>
                <w:rFonts w:asciiTheme="majorHAnsi" w:hAnsiTheme="majorHAnsi"/>
                <w:sz w:val="24"/>
                <w:szCs w:val="24"/>
              </w:rPr>
            </w:pPr>
            <w:r w:rsidRPr="00EF45C0">
              <w:rPr>
                <w:rFonts w:asciiTheme="majorHAnsi" w:hAnsiTheme="majorHAnsi"/>
                <w:sz w:val="24"/>
                <w:szCs w:val="24"/>
              </w:rPr>
              <w:t>IGNITE Clinical Informatics Working Group: Genetic Data Pipeline Project</w:t>
            </w:r>
          </w:p>
        </w:tc>
        <w:tc>
          <w:tcPr>
            <w:tcW w:w="7462" w:type="dxa"/>
            <w:tcBorders>
              <w:top w:val="single" w:sz="6" w:space="0" w:color="000000"/>
              <w:left w:val="single" w:sz="6" w:space="0" w:color="000000"/>
              <w:bottom w:val="single" w:sz="6" w:space="0" w:color="000000"/>
              <w:right w:val="single" w:sz="6" w:space="0" w:color="000000"/>
            </w:tcBorders>
          </w:tcPr>
          <w:p w14:paraId="57FFB3C8" w14:textId="183FD441" w:rsidR="00DA0C93" w:rsidRPr="00F65E83" w:rsidRDefault="00EF45C0" w:rsidP="002A14FB">
            <w:pPr>
              <w:widowControl/>
              <w:rPr>
                <w:rFonts w:asciiTheme="majorHAnsi" w:hAnsiTheme="majorHAnsi"/>
                <w:sz w:val="24"/>
                <w:szCs w:val="24"/>
              </w:rPr>
            </w:pPr>
            <w:r w:rsidRPr="00EF45C0">
              <w:rPr>
                <w:rFonts w:asciiTheme="majorHAnsi" w:hAnsiTheme="majorHAnsi"/>
                <w:sz w:val="24"/>
                <w:szCs w:val="24"/>
              </w:rPr>
              <w:t xml:space="preserve">As there are no turnkey solutions to integrate clinical genetic results into electronic health records, individual health systems have constructed unique and tailored infrastructures to manage clinical genetic results involving electronic health records and personal health records.  The CIWG group of the IGNITE network has designed a survey and data collection instrument to describe the workflow and technical features (at the current point in time) of implemented clinical pipelines to transmit genetic data from a laboratory instrument (whether internal to the institution or external) to the point of care.  </w:t>
            </w:r>
            <w:r w:rsidR="00291366">
              <w:rPr>
                <w:rFonts w:asciiTheme="majorHAnsi" w:hAnsiTheme="majorHAnsi"/>
                <w:sz w:val="24"/>
                <w:szCs w:val="24"/>
              </w:rPr>
              <w:t xml:space="preserve">The CIWG is </w:t>
            </w:r>
            <w:r w:rsidRPr="00EF45C0">
              <w:rPr>
                <w:rFonts w:asciiTheme="majorHAnsi" w:hAnsiTheme="majorHAnsi"/>
                <w:sz w:val="24"/>
                <w:szCs w:val="24"/>
              </w:rPr>
              <w:t xml:space="preserve">requesting responses to a REDCap data collection sheet. </w:t>
            </w:r>
            <w:r w:rsidR="00291366">
              <w:rPr>
                <w:rFonts w:asciiTheme="majorHAnsi" w:hAnsiTheme="majorHAnsi"/>
                <w:sz w:val="24"/>
                <w:szCs w:val="24"/>
              </w:rPr>
              <w:t xml:space="preserve"> CIWG</w:t>
            </w:r>
            <w:r w:rsidRPr="00EF45C0">
              <w:rPr>
                <w:rFonts w:asciiTheme="majorHAnsi" w:hAnsiTheme="majorHAnsi"/>
                <w:sz w:val="24"/>
                <w:szCs w:val="24"/>
              </w:rPr>
              <w:t xml:space="preserve"> will summarize all responses and highlight common practices and challenges.  No participant level data will be required.  </w:t>
            </w:r>
            <w:r w:rsidR="00291366">
              <w:rPr>
                <w:rFonts w:asciiTheme="majorHAnsi" w:hAnsiTheme="majorHAnsi"/>
                <w:sz w:val="24"/>
                <w:szCs w:val="24"/>
              </w:rPr>
              <w:t xml:space="preserve">They </w:t>
            </w:r>
            <w:r w:rsidRPr="00EF45C0">
              <w:rPr>
                <w:rFonts w:asciiTheme="majorHAnsi" w:hAnsiTheme="majorHAnsi"/>
                <w:sz w:val="24"/>
                <w:szCs w:val="24"/>
              </w:rPr>
              <w:t>request one representative from each site interested in participating to sign up.</w:t>
            </w:r>
          </w:p>
        </w:tc>
        <w:tc>
          <w:tcPr>
            <w:tcW w:w="4132" w:type="dxa"/>
            <w:tcBorders>
              <w:top w:val="single" w:sz="6" w:space="0" w:color="000000"/>
              <w:left w:val="single" w:sz="6" w:space="0" w:color="000000"/>
              <w:bottom w:val="single" w:sz="6" w:space="0" w:color="000000"/>
              <w:right w:val="single" w:sz="6" w:space="0" w:color="000000"/>
            </w:tcBorders>
          </w:tcPr>
          <w:p w14:paraId="07A0EF14" w14:textId="6A51D1B0" w:rsidR="00DA0C93" w:rsidRPr="00F65E83" w:rsidRDefault="00EF45C0" w:rsidP="00D92FAD">
            <w:pPr>
              <w:pStyle w:val="ListParagraph"/>
              <w:widowControl/>
              <w:tabs>
                <w:tab w:val="left" w:pos="526"/>
                <w:tab w:val="left" w:pos="1102"/>
                <w:tab w:val="left" w:pos="1627"/>
                <w:tab w:val="left" w:pos="2152"/>
              </w:tabs>
              <w:ind w:left="0"/>
              <w:rPr>
                <w:rFonts w:asciiTheme="majorHAnsi" w:hAnsiTheme="majorHAnsi"/>
                <w:sz w:val="24"/>
                <w:szCs w:val="24"/>
              </w:rPr>
            </w:pPr>
            <w:r>
              <w:rPr>
                <w:rFonts w:asciiTheme="majorHAnsi" w:hAnsiTheme="majorHAnsi"/>
                <w:sz w:val="24"/>
                <w:szCs w:val="24"/>
              </w:rPr>
              <w:t>Email Jo</w:t>
            </w:r>
            <w:r w:rsidR="00E36C96">
              <w:rPr>
                <w:rFonts w:asciiTheme="majorHAnsi" w:hAnsiTheme="majorHAnsi"/>
                <w:sz w:val="24"/>
                <w:szCs w:val="24"/>
              </w:rPr>
              <w:t xml:space="preserve">sh Peterson if you have questions </w:t>
            </w:r>
            <w:r>
              <w:rPr>
                <w:rFonts w:asciiTheme="majorHAnsi" w:hAnsiTheme="majorHAnsi"/>
                <w:sz w:val="24"/>
                <w:szCs w:val="24"/>
              </w:rPr>
              <w:t>(</w:t>
            </w:r>
            <w:hyperlink r:id="rId7" w:history="1">
              <w:r w:rsidRPr="00D27060">
                <w:rPr>
                  <w:rStyle w:val="Hyperlink"/>
                  <w:rFonts w:asciiTheme="majorHAnsi" w:hAnsiTheme="majorHAnsi"/>
                  <w:sz w:val="24"/>
                  <w:szCs w:val="24"/>
                </w:rPr>
                <w:t>josh.peterson@vumc.org</w:t>
              </w:r>
            </w:hyperlink>
            <w:r>
              <w:rPr>
                <w:rFonts w:asciiTheme="majorHAnsi" w:hAnsiTheme="majorHAnsi"/>
                <w:sz w:val="24"/>
                <w:szCs w:val="24"/>
              </w:rPr>
              <w:t>)</w:t>
            </w:r>
            <w:r w:rsidR="00E36C96">
              <w:rPr>
                <w:rFonts w:asciiTheme="majorHAnsi" w:hAnsiTheme="majorHAnsi"/>
                <w:sz w:val="24"/>
                <w:szCs w:val="24"/>
              </w:rPr>
              <w:t xml:space="preserve"> and Henry Ong (</w:t>
            </w:r>
            <w:hyperlink r:id="rId8" w:history="1">
              <w:r w:rsidR="00E36C96" w:rsidRPr="00D27060">
                <w:rPr>
                  <w:rStyle w:val="Hyperlink"/>
                  <w:rFonts w:asciiTheme="majorHAnsi" w:hAnsiTheme="majorHAnsi"/>
                  <w:sz w:val="24"/>
                  <w:szCs w:val="24"/>
                </w:rPr>
                <w:t>henry.h.ong@vumc.org</w:t>
              </w:r>
            </w:hyperlink>
            <w:r w:rsidR="00E36C96">
              <w:rPr>
                <w:rFonts w:asciiTheme="majorHAnsi" w:hAnsiTheme="majorHAnsi"/>
                <w:sz w:val="24"/>
                <w:szCs w:val="24"/>
              </w:rPr>
              <w:t>) if you want to sign up</w:t>
            </w:r>
            <w:r>
              <w:rPr>
                <w:rFonts w:asciiTheme="majorHAnsi" w:hAnsiTheme="majorHAnsi"/>
                <w:sz w:val="24"/>
                <w:szCs w:val="24"/>
              </w:rPr>
              <w:t xml:space="preserve">. </w:t>
            </w:r>
          </w:p>
        </w:tc>
      </w:tr>
      <w:tr w:rsidR="00DA0C93" w:rsidRPr="00F65E83" w14:paraId="135BD8A3"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3AA3519" w14:textId="38564D8C" w:rsidR="00DA0C93" w:rsidRPr="00F65E83" w:rsidRDefault="00EF45C0" w:rsidP="00240352">
            <w:pPr>
              <w:widowControl/>
              <w:rPr>
                <w:rFonts w:asciiTheme="majorHAnsi" w:hAnsiTheme="majorHAnsi"/>
                <w:sz w:val="24"/>
                <w:szCs w:val="24"/>
              </w:rPr>
            </w:pPr>
            <w:r w:rsidRPr="000954B3">
              <w:rPr>
                <w:rFonts w:asciiTheme="majorHAnsi" w:hAnsiTheme="majorHAnsi"/>
                <w:i/>
                <w:sz w:val="24"/>
                <w:szCs w:val="24"/>
              </w:rPr>
              <w:t>CYP2D6</w:t>
            </w:r>
            <w:r>
              <w:rPr>
                <w:rFonts w:asciiTheme="majorHAnsi" w:hAnsiTheme="majorHAnsi"/>
                <w:sz w:val="24"/>
                <w:szCs w:val="24"/>
              </w:rPr>
              <w:t xml:space="preserve"> genotype to phenotype standardization project</w:t>
            </w:r>
          </w:p>
        </w:tc>
        <w:tc>
          <w:tcPr>
            <w:tcW w:w="7462" w:type="dxa"/>
            <w:tcBorders>
              <w:top w:val="single" w:sz="6" w:space="0" w:color="000000"/>
              <w:left w:val="single" w:sz="6" w:space="0" w:color="000000"/>
              <w:bottom w:val="single" w:sz="6" w:space="0" w:color="000000"/>
              <w:right w:val="single" w:sz="6" w:space="0" w:color="000000"/>
            </w:tcBorders>
          </w:tcPr>
          <w:p w14:paraId="13C3ED7B" w14:textId="5ABDD132" w:rsidR="00DA0C93" w:rsidRPr="00DA51E7" w:rsidRDefault="00EF45C0" w:rsidP="00B07B26">
            <w:pPr>
              <w:pStyle w:val="NormalWeb"/>
              <w:rPr>
                <w:rFonts w:asciiTheme="majorHAnsi" w:hAnsiTheme="majorHAnsi"/>
              </w:rPr>
            </w:pPr>
            <w:r>
              <w:rPr>
                <w:rFonts w:asciiTheme="majorHAnsi" w:hAnsiTheme="majorHAnsi"/>
              </w:rPr>
              <w:t xml:space="preserve">Kelly presented results from the </w:t>
            </w:r>
            <w:r w:rsidRPr="00A443A2">
              <w:rPr>
                <w:rFonts w:asciiTheme="majorHAnsi" w:hAnsiTheme="majorHAnsi"/>
                <w:i/>
              </w:rPr>
              <w:t>CYP2D6</w:t>
            </w:r>
            <w:r>
              <w:rPr>
                <w:rFonts w:asciiTheme="majorHAnsi" w:hAnsiTheme="majorHAnsi"/>
              </w:rPr>
              <w:t xml:space="preserve"> genotype to phenotype standardization project. Slides attached to these minutes. </w:t>
            </w:r>
            <w:r w:rsidR="000954B3">
              <w:rPr>
                <w:rFonts w:asciiTheme="majorHAnsi" w:hAnsiTheme="majorHAnsi"/>
              </w:rPr>
              <w:t xml:space="preserve">For full results and final consensus genotype to phenotype table see: </w:t>
            </w:r>
            <w:hyperlink r:id="rId9" w:history="1">
              <w:r w:rsidR="000954B3" w:rsidRPr="00D27060">
                <w:rPr>
                  <w:rStyle w:val="Hyperlink"/>
                  <w:rFonts w:asciiTheme="majorHAnsi" w:hAnsiTheme="majorHAnsi"/>
                </w:rPr>
                <w:t>https://cpicpgx.org/resources/cyp2d6-genotype-to-phenotype-standardization-project/</w:t>
              </w:r>
            </w:hyperlink>
            <w:r w:rsidR="000954B3">
              <w:rPr>
                <w:rFonts w:asciiTheme="majorHAnsi" w:hAnsiTheme="majorHAnsi"/>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5E7A42A7" w14:textId="6CFD619B" w:rsidR="00DA0C93" w:rsidRPr="00F65E83" w:rsidRDefault="00EF45C0" w:rsidP="00D92FAD">
            <w:pPr>
              <w:pStyle w:val="ListParagraph"/>
              <w:widowControl/>
              <w:tabs>
                <w:tab w:val="left" w:pos="526"/>
                <w:tab w:val="left" w:pos="1102"/>
                <w:tab w:val="left" w:pos="1627"/>
                <w:tab w:val="left" w:pos="2152"/>
              </w:tabs>
              <w:ind w:left="0"/>
              <w:rPr>
                <w:rFonts w:asciiTheme="majorHAnsi" w:hAnsiTheme="majorHAnsi"/>
                <w:sz w:val="24"/>
                <w:szCs w:val="24"/>
              </w:rPr>
            </w:pPr>
            <w:r>
              <w:rPr>
                <w:rFonts w:asciiTheme="majorHAnsi" w:hAnsiTheme="majorHAnsi"/>
                <w:sz w:val="24"/>
                <w:szCs w:val="24"/>
              </w:rPr>
              <w:t xml:space="preserve">Please send feedback to </w:t>
            </w:r>
            <w:hyperlink r:id="rId10" w:history="1">
              <w:r w:rsidRPr="00D27060">
                <w:rPr>
                  <w:rStyle w:val="Hyperlink"/>
                  <w:rFonts w:asciiTheme="majorHAnsi" w:hAnsiTheme="majorHAnsi"/>
                  <w:sz w:val="24"/>
                  <w:szCs w:val="24"/>
                </w:rPr>
                <w:t>contact@cpicpgx.org</w:t>
              </w:r>
            </w:hyperlink>
            <w:r>
              <w:rPr>
                <w:rFonts w:asciiTheme="majorHAnsi" w:hAnsiTheme="majorHAnsi"/>
                <w:sz w:val="24"/>
                <w:szCs w:val="24"/>
              </w:rPr>
              <w:t xml:space="preserve"> by </w:t>
            </w:r>
            <w:r w:rsidRPr="00EF45C0">
              <w:rPr>
                <w:rFonts w:asciiTheme="majorHAnsi" w:hAnsiTheme="majorHAnsi"/>
                <w:b/>
                <w:sz w:val="24"/>
                <w:szCs w:val="24"/>
                <w:u w:val="single"/>
              </w:rPr>
              <w:t>September 24</w:t>
            </w:r>
            <w:r w:rsidRPr="00EF45C0">
              <w:rPr>
                <w:rFonts w:asciiTheme="majorHAnsi" w:hAnsiTheme="majorHAnsi"/>
                <w:b/>
                <w:sz w:val="24"/>
                <w:szCs w:val="24"/>
                <w:u w:val="single"/>
                <w:vertAlign w:val="superscript"/>
              </w:rPr>
              <w:t>th</w:t>
            </w:r>
            <w:r>
              <w:rPr>
                <w:rFonts w:asciiTheme="majorHAnsi" w:hAnsiTheme="majorHAnsi"/>
                <w:sz w:val="24"/>
                <w:szCs w:val="24"/>
              </w:rPr>
              <w:t xml:space="preserve">. </w:t>
            </w:r>
          </w:p>
        </w:tc>
      </w:tr>
      <w:tr w:rsidR="00DA0C93" w:rsidRPr="00F65E83" w14:paraId="3EBB2260"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8839D8D" w14:textId="40E0ED0D" w:rsidR="00DA0C93" w:rsidRPr="00F65E83" w:rsidRDefault="000954B3" w:rsidP="00240352">
            <w:pPr>
              <w:widowControl/>
              <w:rPr>
                <w:rFonts w:asciiTheme="majorHAnsi" w:hAnsiTheme="majorHAnsi"/>
                <w:sz w:val="24"/>
                <w:szCs w:val="24"/>
              </w:rPr>
            </w:pPr>
            <w:r>
              <w:rPr>
                <w:rFonts w:asciiTheme="majorHAnsi" w:hAnsiTheme="majorHAnsi"/>
                <w:sz w:val="24"/>
                <w:szCs w:val="24"/>
              </w:rPr>
              <w:t>Update on the CPIC guideline dissemination workgroup</w:t>
            </w:r>
          </w:p>
        </w:tc>
        <w:tc>
          <w:tcPr>
            <w:tcW w:w="7462" w:type="dxa"/>
            <w:tcBorders>
              <w:top w:val="single" w:sz="6" w:space="0" w:color="000000"/>
              <w:left w:val="single" w:sz="6" w:space="0" w:color="000000"/>
              <w:bottom w:val="single" w:sz="6" w:space="0" w:color="000000"/>
              <w:right w:val="single" w:sz="6" w:space="0" w:color="000000"/>
            </w:tcBorders>
          </w:tcPr>
          <w:p w14:paraId="2C400629" w14:textId="2382CB3D" w:rsidR="00DA0C93" w:rsidRPr="00F65E83" w:rsidRDefault="000954B3" w:rsidP="002A14FB">
            <w:pPr>
              <w:widowControl/>
              <w:rPr>
                <w:rFonts w:asciiTheme="majorHAnsi" w:hAnsiTheme="majorHAnsi"/>
                <w:sz w:val="24"/>
                <w:szCs w:val="24"/>
              </w:rPr>
            </w:pPr>
            <w:r>
              <w:rPr>
                <w:rFonts w:asciiTheme="majorHAnsi" w:hAnsiTheme="majorHAnsi"/>
                <w:sz w:val="24"/>
                <w:szCs w:val="24"/>
              </w:rPr>
              <w:t xml:space="preserve">Andrew Monte (chair) </w:t>
            </w:r>
            <w:r w:rsidR="003E54DD">
              <w:rPr>
                <w:rFonts w:asciiTheme="majorHAnsi" w:hAnsiTheme="majorHAnsi"/>
                <w:sz w:val="24"/>
                <w:szCs w:val="24"/>
              </w:rPr>
              <w:t>updated CPIC members on progress of the CPIC guideline dissemination workgroup. Members had a first call and discussed the many opportunities to educate clinicians about CPIC guidelines. Subgroups have been formed</w:t>
            </w:r>
            <w:r w:rsidR="00376586">
              <w:rPr>
                <w:rFonts w:asciiTheme="majorHAnsi" w:hAnsiTheme="majorHAnsi"/>
                <w:sz w:val="24"/>
                <w:szCs w:val="24"/>
              </w:rPr>
              <w:t>.</w:t>
            </w:r>
            <w:bookmarkStart w:id="0" w:name="_GoBack"/>
            <w:bookmarkEnd w:id="0"/>
            <w:r w:rsidR="003E54DD">
              <w:rPr>
                <w:rFonts w:asciiTheme="majorHAnsi" w:hAnsiTheme="majorHAnsi"/>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2F3927DD" w14:textId="0188D416" w:rsidR="00DA0C93" w:rsidRPr="00F65E83" w:rsidRDefault="003E54DD" w:rsidP="00D92FAD">
            <w:pPr>
              <w:pStyle w:val="ListParagraph"/>
              <w:widowControl/>
              <w:tabs>
                <w:tab w:val="left" w:pos="526"/>
                <w:tab w:val="left" w:pos="1102"/>
                <w:tab w:val="left" w:pos="1627"/>
                <w:tab w:val="left" w:pos="2152"/>
              </w:tabs>
              <w:ind w:left="0"/>
              <w:rPr>
                <w:rFonts w:asciiTheme="majorHAnsi" w:hAnsiTheme="majorHAnsi"/>
                <w:sz w:val="24"/>
                <w:szCs w:val="24"/>
              </w:rPr>
            </w:pPr>
            <w:r>
              <w:rPr>
                <w:rFonts w:asciiTheme="majorHAnsi" w:hAnsiTheme="majorHAnsi"/>
                <w:sz w:val="24"/>
                <w:szCs w:val="24"/>
              </w:rPr>
              <w:t>Andrew will continue to update members.</w:t>
            </w:r>
          </w:p>
        </w:tc>
      </w:tr>
      <w:tr w:rsidR="00971948" w:rsidRPr="00F65E83"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688DE88B" w:rsidR="00971948" w:rsidRPr="00F65E83" w:rsidRDefault="00C90B4E" w:rsidP="00240352">
            <w:pPr>
              <w:widowControl/>
              <w:rPr>
                <w:rFonts w:asciiTheme="majorHAnsi" w:hAnsiTheme="majorHAnsi"/>
                <w:sz w:val="24"/>
                <w:szCs w:val="24"/>
              </w:rPr>
            </w:pPr>
            <w:r w:rsidRPr="00F65E83">
              <w:rPr>
                <w:rFonts w:asciiTheme="majorHAnsi" w:hAnsiTheme="majorHAnsi"/>
                <w:sz w:val="24"/>
                <w:szCs w:val="24"/>
              </w:rPr>
              <w:t xml:space="preserve">Guidelines in progress </w:t>
            </w:r>
            <w:r w:rsidR="000714A3">
              <w:rPr>
                <w:rFonts w:asciiTheme="majorHAnsi" w:hAnsiTheme="majorHAnsi"/>
                <w:sz w:val="24"/>
                <w:szCs w:val="24"/>
              </w:rPr>
              <w:t>(not discussed on call)</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F65E83" w:rsidRDefault="002A14FB" w:rsidP="002A14FB">
            <w:pPr>
              <w:widowControl/>
              <w:rPr>
                <w:rFonts w:asciiTheme="majorHAnsi" w:hAnsiTheme="majorHAnsi"/>
                <w:sz w:val="24"/>
                <w:szCs w:val="24"/>
              </w:rPr>
            </w:pPr>
            <w:r w:rsidRPr="00F65E83">
              <w:rPr>
                <w:rFonts w:asciiTheme="majorHAnsi" w:hAnsiTheme="majorHAnsi"/>
                <w:sz w:val="24"/>
                <w:szCs w:val="24"/>
              </w:rPr>
              <w:t>Guideline updates in progress:</w:t>
            </w:r>
          </w:p>
          <w:p w14:paraId="7DCF616D" w14:textId="7C19E520" w:rsidR="00412191" w:rsidRDefault="00412191" w:rsidP="00464C05">
            <w:pPr>
              <w:pStyle w:val="ListParagraph"/>
              <w:widowControl/>
              <w:numPr>
                <w:ilvl w:val="0"/>
                <w:numId w:val="31"/>
              </w:numPr>
              <w:rPr>
                <w:rFonts w:asciiTheme="majorHAnsi" w:hAnsiTheme="majorHAnsi"/>
                <w:sz w:val="24"/>
                <w:szCs w:val="24"/>
              </w:rPr>
            </w:pPr>
            <w:r w:rsidRPr="00F65E83">
              <w:rPr>
                <w:rFonts w:asciiTheme="majorHAnsi" w:hAnsiTheme="majorHAnsi"/>
                <w:i/>
                <w:sz w:val="24"/>
                <w:szCs w:val="24"/>
              </w:rPr>
              <w:t>TPMT/NUDT15/</w:t>
            </w:r>
            <w:r w:rsidRPr="00F65E83">
              <w:rPr>
                <w:rFonts w:asciiTheme="majorHAnsi" w:hAnsiTheme="majorHAnsi"/>
                <w:sz w:val="24"/>
                <w:szCs w:val="24"/>
              </w:rPr>
              <w:t>thiopurines</w:t>
            </w:r>
            <w:r w:rsidRPr="00F65E83">
              <w:rPr>
                <w:rFonts w:asciiTheme="majorHAnsi" w:hAnsiTheme="majorHAnsi"/>
                <w:i/>
                <w:sz w:val="24"/>
                <w:szCs w:val="24"/>
              </w:rPr>
              <w:t>:</w:t>
            </w:r>
            <w:r w:rsidR="004A57EA" w:rsidRPr="00F65E83">
              <w:rPr>
                <w:rFonts w:asciiTheme="majorHAnsi" w:hAnsiTheme="majorHAnsi"/>
                <w:i/>
                <w:sz w:val="24"/>
                <w:szCs w:val="24"/>
              </w:rPr>
              <w:t xml:space="preserve"> </w:t>
            </w:r>
            <w:r w:rsidR="003E54DD">
              <w:rPr>
                <w:rFonts w:asciiTheme="majorHAnsi" w:hAnsiTheme="majorHAnsi"/>
                <w:sz w:val="24"/>
                <w:szCs w:val="24"/>
              </w:rPr>
              <w:t>in review</w:t>
            </w:r>
          </w:p>
          <w:p w14:paraId="692DD7D8" w14:textId="0B1F65A1" w:rsidR="00464C05" w:rsidRPr="003E54DD" w:rsidRDefault="00464C05" w:rsidP="00464C05">
            <w:pPr>
              <w:pStyle w:val="ListParagraph"/>
              <w:widowControl/>
              <w:numPr>
                <w:ilvl w:val="0"/>
                <w:numId w:val="31"/>
              </w:numPr>
              <w:rPr>
                <w:rFonts w:asciiTheme="majorHAnsi" w:hAnsiTheme="majorHAnsi"/>
                <w:i/>
                <w:sz w:val="24"/>
                <w:szCs w:val="24"/>
              </w:rPr>
            </w:pPr>
            <w:r>
              <w:rPr>
                <w:rFonts w:asciiTheme="majorHAnsi" w:hAnsiTheme="majorHAnsi"/>
                <w:i/>
                <w:sz w:val="24"/>
                <w:szCs w:val="24"/>
              </w:rPr>
              <w:t>CYP2C9/HLA/</w:t>
            </w:r>
            <w:r>
              <w:rPr>
                <w:rFonts w:asciiTheme="majorHAnsi" w:hAnsiTheme="majorHAnsi"/>
                <w:sz w:val="24"/>
                <w:szCs w:val="24"/>
              </w:rPr>
              <w:t xml:space="preserve">phenytoin: </w:t>
            </w:r>
            <w:r w:rsidR="003E54DD">
              <w:rPr>
                <w:rFonts w:asciiTheme="majorHAnsi" w:hAnsiTheme="majorHAnsi"/>
                <w:sz w:val="24"/>
                <w:szCs w:val="24"/>
              </w:rPr>
              <w:t>in evidence review</w:t>
            </w:r>
          </w:p>
          <w:p w14:paraId="58784692" w14:textId="47C82F6C" w:rsidR="003E54DD" w:rsidRPr="00464C05" w:rsidRDefault="003E54DD" w:rsidP="00464C05">
            <w:pPr>
              <w:pStyle w:val="ListParagraph"/>
              <w:widowControl/>
              <w:numPr>
                <w:ilvl w:val="0"/>
                <w:numId w:val="31"/>
              </w:numPr>
              <w:rPr>
                <w:rFonts w:asciiTheme="majorHAnsi" w:hAnsiTheme="majorHAnsi"/>
                <w:i/>
                <w:sz w:val="24"/>
                <w:szCs w:val="24"/>
              </w:rPr>
            </w:pPr>
            <w:r>
              <w:rPr>
                <w:rFonts w:asciiTheme="majorHAnsi" w:hAnsiTheme="majorHAnsi"/>
                <w:i/>
                <w:sz w:val="24"/>
                <w:szCs w:val="24"/>
              </w:rPr>
              <w:lastRenderedPageBreak/>
              <w:t>CYP2D6</w:t>
            </w:r>
            <w:r w:rsidRPr="003E54DD">
              <w:rPr>
                <w:rFonts w:asciiTheme="majorHAnsi" w:hAnsiTheme="majorHAnsi"/>
                <w:sz w:val="24"/>
                <w:szCs w:val="24"/>
              </w:rPr>
              <w:t>/codeine:</w:t>
            </w:r>
            <w:r>
              <w:rPr>
                <w:rFonts w:asciiTheme="majorHAnsi" w:hAnsiTheme="majorHAnsi"/>
                <w:i/>
                <w:sz w:val="24"/>
                <w:szCs w:val="24"/>
              </w:rPr>
              <w:t xml:space="preserve"> </w:t>
            </w:r>
            <w:r>
              <w:rPr>
                <w:rFonts w:asciiTheme="majorHAnsi" w:hAnsiTheme="majorHAnsi"/>
                <w:sz w:val="24"/>
                <w:szCs w:val="24"/>
              </w:rPr>
              <w:t>authorship plan underway</w:t>
            </w:r>
          </w:p>
          <w:p w14:paraId="17D9847E" w14:textId="77777777" w:rsidR="002A14FB" w:rsidRPr="00F65E83" w:rsidRDefault="002A14FB" w:rsidP="002A14FB">
            <w:pPr>
              <w:widowControl/>
              <w:rPr>
                <w:rFonts w:asciiTheme="majorHAnsi" w:hAnsiTheme="majorHAnsi"/>
                <w:sz w:val="24"/>
                <w:szCs w:val="24"/>
              </w:rPr>
            </w:pPr>
            <w:r w:rsidRPr="00F65E83">
              <w:rPr>
                <w:rFonts w:asciiTheme="majorHAnsi" w:hAnsiTheme="majorHAnsi"/>
                <w:sz w:val="24"/>
                <w:szCs w:val="24"/>
              </w:rPr>
              <w:t xml:space="preserve">New guidelines in progress: </w:t>
            </w:r>
          </w:p>
          <w:p w14:paraId="727427B6" w14:textId="15BBCE9C" w:rsidR="004A57EA" w:rsidRPr="00F65E83" w:rsidRDefault="002A14FB" w:rsidP="00464C05">
            <w:pPr>
              <w:pStyle w:val="ListParagraph"/>
              <w:widowControl/>
              <w:numPr>
                <w:ilvl w:val="0"/>
                <w:numId w:val="31"/>
              </w:numPr>
              <w:rPr>
                <w:rFonts w:asciiTheme="majorHAnsi" w:hAnsiTheme="majorHAnsi"/>
                <w:i/>
                <w:sz w:val="24"/>
                <w:szCs w:val="24"/>
              </w:rPr>
            </w:pPr>
            <w:r w:rsidRPr="00F65E83">
              <w:rPr>
                <w:rFonts w:asciiTheme="majorHAnsi" w:hAnsiTheme="majorHAnsi"/>
                <w:i/>
                <w:sz w:val="24"/>
                <w:szCs w:val="24"/>
              </w:rPr>
              <w:t>RYR1</w:t>
            </w:r>
            <w:r w:rsidRPr="00F65E83">
              <w:rPr>
                <w:rFonts w:asciiTheme="majorHAnsi" w:hAnsiTheme="majorHAnsi"/>
                <w:sz w:val="24"/>
                <w:szCs w:val="24"/>
              </w:rPr>
              <w:t xml:space="preserve">/inhaled anesthetics: </w:t>
            </w:r>
            <w:r w:rsidR="003E54DD">
              <w:rPr>
                <w:rFonts w:asciiTheme="majorHAnsi" w:hAnsiTheme="majorHAnsi"/>
                <w:sz w:val="24"/>
                <w:szCs w:val="24"/>
              </w:rPr>
              <w:t>in review</w:t>
            </w:r>
          </w:p>
          <w:p w14:paraId="6D246AE0" w14:textId="01A3ECF4" w:rsidR="00D636E8" w:rsidRPr="00F65E83" w:rsidRDefault="002A14FB" w:rsidP="00464C05">
            <w:pPr>
              <w:pStyle w:val="ListParagraph"/>
              <w:widowControl/>
              <w:numPr>
                <w:ilvl w:val="0"/>
                <w:numId w:val="31"/>
              </w:numPr>
              <w:rPr>
                <w:rFonts w:asciiTheme="majorHAnsi" w:hAnsiTheme="majorHAnsi"/>
                <w:i/>
                <w:sz w:val="24"/>
                <w:szCs w:val="24"/>
              </w:rPr>
            </w:pPr>
            <w:r w:rsidRPr="00F65E83">
              <w:rPr>
                <w:rFonts w:asciiTheme="majorHAnsi" w:hAnsiTheme="majorHAnsi"/>
                <w:i/>
                <w:sz w:val="24"/>
                <w:szCs w:val="24"/>
              </w:rPr>
              <w:t>CYP2B6</w:t>
            </w:r>
            <w:r w:rsidRPr="00F65E83">
              <w:rPr>
                <w:rFonts w:asciiTheme="majorHAnsi" w:hAnsiTheme="majorHAnsi"/>
                <w:sz w:val="24"/>
                <w:szCs w:val="24"/>
              </w:rPr>
              <w:t>/ef</w:t>
            </w:r>
            <w:r w:rsidR="008E6D58" w:rsidRPr="00F65E83">
              <w:rPr>
                <w:rFonts w:asciiTheme="majorHAnsi" w:hAnsiTheme="majorHAnsi"/>
                <w:sz w:val="24"/>
                <w:szCs w:val="24"/>
              </w:rPr>
              <w:t xml:space="preserve">avirenz: </w:t>
            </w:r>
            <w:r w:rsidR="003E54DD">
              <w:rPr>
                <w:rFonts w:asciiTheme="majorHAnsi" w:hAnsiTheme="majorHAnsi"/>
                <w:sz w:val="24"/>
                <w:szCs w:val="24"/>
              </w:rPr>
              <w:t>drafting guideline</w:t>
            </w:r>
          </w:p>
          <w:p w14:paraId="2924F3A9" w14:textId="0F69024E" w:rsidR="004221D7" w:rsidRPr="00F65E83" w:rsidRDefault="00665358" w:rsidP="00464C05">
            <w:pPr>
              <w:pStyle w:val="ListParagraph"/>
              <w:widowControl/>
              <w:numPr>
                <w:ilvl w:val="0"/>
                <w:numId w:val="31"/>
              </w:numPr>
              <w:rPr>
                <w:rFonts w:asciiTheme="majorHAnsi" w:hAnsiTheme="majorHAnsi"/>
                <w:i/>
                <w:sz w:val="24"/>
                <w:szCs w:val="24"/>
              </w:rPr>
            </w:pPr>
            <w:r w:rsidRPr="00F65E83">
              <w:rPr>
                <w:rFonts w:asciiTheme="majorHAnsi" w:hAnsiTheme="majorHAnsi"/>
                <w:i/>
                <w:sz w:val="24"/>
                <w:szCs w:val="24"/>
              </w:rPr>
              <w:t>CYP2D6/</w:t>
            </w:r>
            <w:r w:rsidRPr="00F65E83">
              <w:rPr>
                <w:rFonts w:asciiTheme="majorHAnsi" w:hAnsiTheme="majorHAnsi"/>
                <w:sz w:val="24"/>
                <w:szCs w:val="24"/>
              </w:rPr>
              <w:t xml:space="preserve">atomoxetine: </w:t>
            </w:r>
            <w:r w:rsidR="003E54DD">
              <w:rPr>
                <w:rFonts w:asciiTheme="majorHAnsi" w:hAnsiTheme="majorHAnsi"/>
                <w:sz w:val="24"/>
                <w:szCs w:val="24"/>
              </w:rPr>
              <w:t>drafting guideline</w:t>
            </w:r>
          </w:p>
          <w:p w14:paraId="679F9EF0" w14:textId="3A7AEC23" w:rsidR="00665358" w:rsidRPr="00482BA5" w:rsidRDefault="009044D2" w:rsidP="00464C05">
            <w:pPr>
              <w:pStyle w:val="ListParagraph"/>
              <w:widowControl/>
              <w:numPr>
                <w:ilvl w:val="0"/>
                <w:numId w:val="31"/>
              </w:numPr>
              <w:rPr>
                <w:rFonts w:asciiTheme="majorHAnsi" w:hAnsiTheme="majorHAnsi"/>
                <w:i/>
                <w:sz w:val="24"/>
                <w:szCs w:val="24"/>
              </w:rPr>
            </w:pPr>
            <w:r w:rsidRPr="00F65E83">
              <w:rPr>
                <w:rFonts w:asciiTheme="majorHAnsi" w:hAnsiTheme="majorHAnsi"/>
                <w:i/>
                <w:sz w:val="24"/>
                <w:szCs w:val="24"/>
              </w:rPr>
              <w:t>CYP2C19/</w:t>
            </w:r>
            <w:r w:rsidRPr="00F65E83">
              <w:rPr>
                <w:rFonts w:asciiTheme="majorHAnsi" w:hAnsiTheme="majorHAnsi"/>
                <w:sz w:val="24"/>
                <w:szCs w:val="24"/>
              </w:rPr>
              <w:t xml:space="preserve">PPI: </w:t>
            </w:r>
            <w:r w:rsidR="003E54DD">
              <w:rPr>
                <w:rFonts w:asciiTheme="majorHAnsi" w:hAnsiTheme="majorHAnsi"/>
                <w:sz w:val="24"/>
                <w:szCs w:val="24"/>
              </w:rPr>
              <w:t>evidence review underway</w:t>
            </w:r>
          </w:p>
          <w:p w14:paraId="09A45D9C" w14:textId="3DDBBB54" w:rsidR="00482BA5" w:rsidRPr="00F65E83" w:rsidRDefault="00482BA5" w:rsidP="00464C05">
            <w:pPr>
              <w:pStyle w:val="ListParagraph"/>
              <w:widowControl/>
              <w:numPr>
                <w:ilvl w:val="0"/>
                <w:numId w:val="31"/>
              </w:numPr>
              <w:rPr>
                <w:rFonts w:asciiTheme="majorHAnsi" w:hAnsiTheme="majorHAnsi"/>
                <w:i/>
                <w:sz w:val="24"/>
                <w:szCs w:val="24"/>
              </w:rPr>
            </w:pPr>
            <w:r>
              <w:rPr>
                <w:rFonts w:asciiTheme="majorHAnsi" w:hAnsiTheme="majorHAnsi"/>
                <w:i/>
                <w:sz w:val="24"/>
                <w:szCs w:val="24"/>
              </w:rPr>
              <w:t>CYP2C9/</w:t>
            </w:r>
            <w:r>
              <w:rPr>
                <w:rFonts w:asciiTheme="majorHAnsi" w:hAnsiTheme="majorHAnsi"/>
                <w:sz w:val="24"/>
                <w:szCs w:val="24"/>
              </w:rPr>
              <w:t xml:space="preserve">celecoxib: </w:t>
            </w:r>
            <w:r w:rsidR="003E54DD">
              <w:rPr>
                <w:rFonts w:asciiTheme="majorHAnsi" w:hAnsiTheme="majorHAnsi"/>
                <w:sz w:val="24"/>
                <w:szCs w:val="24"/>
              </w:rPr>
              <w:t>evidence review underway</w:t>
            </w:r>
            <w:r>
              <w:rPr>
                <w:rFonts w:asciiTheme="majorHAnsi" w:hAnsiTheme="majorHAnsi"/>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F65E83" w:rsidRDefault="009621F1" w:rsidP="00D92FAD">
            <w:pPr>
              <w:pStyle w:val="ListParagraph"/>
              <w:widowControl/>
              <w:tabs>
                <w:tab w:val="left" w:pos="526"/>
                <w:tab w:val="left" w:pos="1102"/>
                <w:tab w:val="left" w:pos="1627"/>
                <w:tab w:val="left" w:pos="2152"/>
              </w:tabs>
              <w:ind w:left="0"/>
              <w:rPr>
                <w:rFonts w:asciiTheme="majorHAnsi" w:hAnsiTheme="majorHAnsi"/>
                <w:sz w:val="24"/>
                <w:szCs w:val="24"/>
              </w:rPr>
            </w:pPr>
            <w:r w:rsidRPr="00F65E83">
              <w:rPr>
                <w:rFonts w:asciiTheme="majorHAnsi" w:hAnsiTheme="majorHAnsi"/>
                <w:sz w:val="24"/>
                <w:szCs w:val="24"/>
              </w:rPr>
              <w:lastRenderedPageBreak/>
              <w:t xml:space="preserve">Guideline preparation will continue and </w:t>
            </w:r>
            <w:r w:rsidR="00C90B4E" w:rsidRPr="00F65E83">
              <w:rPr>
                <w:rFonts w:asciiTheme="majorHAnsi" w:hAnsiTheme="majorHAnsi"/>
                <w:sz w:val="24"/>
                <w:szCs w:val="24"/>
              </w:rPr>
              <w:t>Kelly will continue to follow-up.</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4A3"/>
    <w:rsid w:val="00071849"/>
    <w:rsid w:val="00071A99"/>
    <w:rsid w:val="00072975"/>
    <w:rsid w:val="00072991"/>
    <w:rsid w:val="00083FFE"/>
    <w:rsid w:val="0009054A"/>
    <w:rsid w:val="000954B3"/>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093"/>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87A"/>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366"/>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586"/>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2351"/>
    <w:rsid w:val="003D4320"/>
    <w:rsid w:val="003D536F"/>
    <w:rsid w:val="003E10B0"/>
    <w:rsid w:val="003E54DD"/>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1A68"/>
    <w:rsid w:val="004221D7"/>
    <w:rsid w:val="00425E3E"/>
    <w:rsid w:val="00430584"/>
    <w:rsid w:val="0043136C"/>
    <w:rsid w:val="00431A0D"/>
    <w:rsid w:val="004330AE"/>
    <w:rsid w:val="00440382"/>
    <w:rsid w:val="00441E8B"/>
    <w:rsid w:val="00445D26"/>
    <w:rsid w:val="00447592"/>
    <w:rsid w:val="00456543"/>
    <w:rsid w:val="00457553"/>
    <w:rsid w:val="00457A70"/>
    <w:rsid w:val="00461127"/>
    <w:rsid w:val="00464C05"/>
    <w:rsid w:val="004661C5"/>
    <w:rsid w:val="00466EC5"/>
    <w:rsid w:val="00470901"/>
    <w:rsid w:val="0047251D"/>
    <w:rsid w:val="00474B97"/>
    <w:rsid w:val="00475027"/>
    <w:rsid w:val="00475396"/>
    <w:rsid w:val="00476BF7"/>
    <w:rsid w:val="00477418"/>
    <w:rsid w:val="004828EF"/>
    <w:rsid w:val="00482BA5"/>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5021D3"/>
    <w:rsid w:val="00502C5F"/>
    <w:rsid w:val="00510B67"/>
    <w:rsid w:val="00512586"/>
    <w:rsid w:val="00514A8E"/>
    <w:rsid w:val="00523768"/>
    <w:rsid w:val="00524661"/>
    <w:rsid w:val="00524902"/>
    <w:rsid w:val="00525FC7"/>
    <w:rsid w:val="00526722"/>
    <w:rsid w:val="005268C8"/>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54E76"/>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1098"/>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5287"/>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0FCE"/>
    <w:rsid w:val="00783E74"/>
    <w:rsid w:val="0079028E"/>
    <w:rsid w:val="00790989"/>
    <w:rsid w:val="00790D46"/>
    <w:rsid w:val="00792870"/>
    <w:rsid w:val="007942A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044D2"/>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43A2"/>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07B26"/>
    <w:rsid w:val="00B14CB6"/>
    <w:rsid w:val="00B16912"/>
    <w:rsid w:val="00B16DEF"/>
    <w:rsid w:val="00B212AC"/>
    <w:rsid w:val="00B3249D"/>
    <w:rsid w:val="00B352C5"/>
    <w:rsid w:val="00B3627B"/>
    <w:rsid w:val="00B457F1"/>
    <w:rsid w:val="00B47B24"/>
    <w:rsid w:val="00B51948"/>
    <w:rsid w:val="00B52BDF"/>
    <w:rsid w:val="00B55677"/>
    <w:rsid w:val="00B567CD"/>
    <w:rsid w:val="00B63789"/>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4FEF"/>
    <w:rsid w:val="00C25B09"/>
    <w:rsid w:val="00C3032C"/>
    <w:rsid w:val="00C304C1"/>
    <w:rsid w:val="00C339B8"/>
    <w:rsid w:val="00C42F67"/>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336C4"/>
    <w:rsid w:val="00D423BF"/>
    <w:rsid w:val="00D4679D"/>
    <w:rsid w:val="00D53A59"/>
    <w:rsid w:val="00D543EB"/>
    <w:rsid w:val="00D60E2E"/>
    <w:rsid w:val="00D6179C"/>
    <w:rsid w:val="00D618F5"/>
    <w:rsid w:val="00D636E8"/>
    <w:rsid w:val="00D64A36"/>
    <w:rsid w:val="00D64D37"/>
    <w:rsid w:val="00D71045"/>
    <w:rsid w:val="00D732BB"/>
    <w:rsid w:val="00D7447C"/>
    <w:rsid w:val="00D801B2"/>
    <w:rsid w:val="00D8028F"/>
    <w:rsid w:val="00D82D23"/>
    <w:rsid w:val="00D85432"/>
    <w:rsid w:val="00D92FAD"/>
    <w:rsid w:val="00D9386C"/>
    <w:rsid w:val="00D947D2"/>
    <w:rsid w:val="00DA0C93"/>
    <w:rsid w:val="00DA13D0"/>
    <w:rsid w:val="00DA19D4"/>
    <w:rsid w:val="00DA51E7"/>
    <w:rsid w:val="00DA714B"/>
    <w:rsid w:val="00DB0A63"/>
    <w:rsid w:val="00DB255F"/>
    <w:rsid w:val="00DC2FB5"/>
    <w:rsid w:val="00DC35AB"/>
    <w:rsid w:val="00DC4EAE"/>
    <w:rsid w:val="00DC771A"/>
    <w:rsid w:val="00DD1F19"/>
    <w:rsid w:val="00DD4264"/>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1E91"/>
    <w:rsid w:val="00E34AC4"/>
    <w:rsid w:val="00E36C96"/>
    <w:rsid w:val="00E37C0A"/>
    <w:rsid w:val="00E43B03"/>
    <w:rsid w:val="00E446F4"/>
    <w:rsid w:val="00E4516A"/>
    <w:rsid w:val="00E4641A"/>
    <w:rsid w:val="00E5130D"/>
    <w:rsid w:val="00E52420"/>
    <w:rsid w:val="00E55262"/>
    <w:rsid w:val="00E55ADF"/>
    <w:rsid w:val="00E61007"/>
    <w:rsid w:val="00E64B2B"/>
    <w:rsid w:val="00E659EC"/>
    <w:rsid w:val="00E72BFE"/>
    <w:rsid w:val="00E80912"/>
    <w:rsid w:val="00E856E7"/>
    <w:rsid w:val="00E86654"/>
    <w:rsid w:val="00E92A2C"/>
    <w:rsid w:val="00E92E73"/>
    <w:rsid w:val="00E95A36"/>
    <w:rsid w:val="00EA2223"/>
    <w:rsid w:val="00EA6DD3"/>
    <w:rsid w:val="00EB05EF"/>
    <w:rsid w:val="00EB37FF"/>
    <w:rsid w:val="00EB56B7"/>
    <w:rsid w:val="00EB58EC"/>
    <w:rsid w:val="00EC2B3F"/>
    <w:rsid w:val="00EC5D33"/>
    <w:rsid w:val="00ED113F"/>
    <w:rsid w:val="00ED276B"/>
    <w:rsid w:val="00ED336A"/>
    <w:rsid w:val="00EE1099"/>
    <w:rsid w:val="00EE26C6"/>
    <w:rsid w:val="00EE2C72"/>
    <w:rsid w:val="00EE5EDB"/>
    <w:rsid w:val="00EF1222"/>
    <w:rsid w:val="00EF1546"/>
    <w:rsid w:val="00EF42A6"/>
    <w:rsid w:val="00EF45C0"/>
    <w:rsid w:val="00EF48DB"/>
    <w:rsid w:val="00F10042"/>
    <w:rsid w:val="00F10B02"/>
    <w:rsid w:val="00F146AA"/>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5E83"/>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1E09"/>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EF45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78101512">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y.h.ong@vumc.org" TargetMode="External"/><Relationship Id="rId3" Type="http://schemas.openxmlformats.org/officeDocument/2006/relationships/settings" Target="settings.xml"/><Relationship Id="rId7" Type="http://schemas.openxmlformats.org/officeDocument/2006/relationships/hyperlink" Target="mailto:josh.peterson@vum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cpicpgx.org" TargetMode="External"/><Relationship Id="rId4" Type="http://schemas.openxmlformats.org/officeDocument/2006/relationships/webSettings" Target="webSettings.xml"/><Relationship Id="rId9" Type="http://schemas.openxmlformats.org/officeDocument/2006/relationships/hyperlink" Target="https://cpicpgx.org/resources/cyp2d6-genotype-to-phenotype-standardizatio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3</cp:revision>
  <cp:lastPrinted>2014-02-17T17:58:00Z</cp:lastPrinted>
  <dcterms:created xsi:type="dcterms:W3CDTF">2018-09-13T18:48:00Z</dcterms:created>
  <dcterms:modified xsi:type="dcterms:W3CDTF">2018-09-13T18:51:00Z</dcterms:modified>
</cp:coreProperties>
</file>