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715C9" w14:textId="55D00B96"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5C6B9D61" w14:textId="77777777" w:rsidR="00F73D93" w:rsidRPr="007F5874" w:rsidRDefault="00F73D93">
      <w:pPr>
        <w:rPr>
          <w:rFonts w:cs="Times New Roman"/>
        </w:rPr>
      </w:pPr>
    </w:p>
    <w:p w14:paraId="27817884"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2CF93779"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06E4147F" w14:textId="4A86E9FE" w:rsidR="00074695"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13059441" w:history="1">
            <w:r w:rsidR="00074695" w:rsidRPr="002E388A">
              <w:rPr>
                <w:rStyle w:val="Hyperlink"/>
                <w:noProof/>
              </w:rPr>
              <w:t>Key Points about CPIC guidelines:</w:t>
            </w:r>
            <w:r w:rsidR="00074695">
              <w:rPr>
                <w:noProof/>
                <w:webHidden/>
              </w:rPr>
              <w:tab/>
            </w:r>
            <w:r w:rsidR="00074695">
              <w:rPr>
                <w:noProof/>
                <w:webHidden/>
              </w:rPr>
              <w:fldChar w:fldCharType="begin"/>
            </w:r>
            <w:r w:rsidR="00074695">
              <w:rPr>
                <w:noProof/>
                <w:webHidden/>
              </w:rPr>
              <w:instrText xml:space="preserve"> PAGEREF _Toc13059441 \h </w:instrText>
            </w:r>
            <w:r w:rsidR="00074695">
              <w:rPr>
                <w:noProof/>
                <w:webHidden/>
              </w:rPr>
            </w:r>
            <w:r w:rsidR="00074695">
              <w:rPr>
                <w:noProof/>
                <w:webHidden/>
              </w:rPr>
              <w:fldChar w:fldCharType="separate"/>
            </w:r>
            <w:r w:rsidR="00074695">
              <w:rPr>
                <w:noProof/>
                <w:webHidden/>
              </w:rPr>
              <w:t>2</w:t>
            </w:r>
            <w:r w:rsidR="00074695">
              <w:rPr>
                <w:noProof/>
                <w:webHidden/>
              </w:rPr>
              <w:fldChar w:fldCharType="end"/>
            </w:r>
          </w:hyperlink>
        </w:p>
        <w:p w14:paraId="76F2F738" w14:textId="46CBF203" w:rsidR="00074695" w:rsidRDefault="00D37C12">
          <w:pPr>
            <w:pStyle w:val="TOC1"/>
            <w:tabs>
              <w:tab w:val="right" w:leader="dot" w:pos="8630"/>
            </w:tabs>
            <w:rPr>
              <w:rFonts w:asciiTheme="minorHAnsi" w:hAnsiTheme="minorHAnsi"/>
              <w:noProof/>
              <w:sz w:val="22"/>
              <w:szCs w:val="22"/>
            </w:rPr>
          </w:pPr>
          <w:hyperlink w:anchor="_Toc13059442" w:history="1">
            <w:r w:rsidR="00074695" w:rsidRPr="002E388A">
              <w:rPr>
                <w:rStyle w:val="Hyperlink"/>
                <w:noProof/>
              </w:rPr>
              <w:t>CPIC Guideline Development Process</w:t>
            </w:r>
            <w:r w:rsidR="00074695">
              <w:rPr>
                <w:noProof/>
                <w:webHidden/>
              </w:rPr>
              <w:tab/>
            </w:r>
            <w:r w:rsidR="00074695">
              <w:rPr>
                <w:noProof/>
                <w:webHidden/>
              </w:rPr>
              <w:fldChar w:fldCharType="begin"/>
            </w:r>
            <w:r w:rsidR="00074695">
              <w:rPr>
                <w:noProof/>
                <w:webHidden/>
              </w:rPr>
              <w:instrText xml:space="preserve"> PAGEREF _Toc13059442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62030A31" w14:textId="3E9D433B" w:rsidR="00074695" w:rsidRDefault="00D37C12">
          <w:pPr>
            <w:pStyle w:val="TOC2"/>
            <w:tabs>
              <w:tab w:val="left" w:pos="660"/>
              <w:tab w:val="right" w:leader="dot" w:pos="8630"/>
            </w:tabs>
            <w:rPr>
              <w:rFonts w:asciiTheme="minorHAnsi" w:hAnsiTheme="minorHAnsi"/>
              <w:noProof/>
              <w:sz w:val="22"/>
              <w:szCs w:val="22"/>
            </w:rPr>
          </w:pPr>
          <w:hyperlink w:anchor="_Toc13059443" w:history="1">
            <w:r w:rsidR="00074695" w:rsidRPr="002E388A">
              <w:rPr>
                <w:rStyle w:val="Hyperlink"/>
                <w:noProof/>
              </w:rPr>
              <w:t>1.</w:t>
            </w:r>
            <w:r w:rsidR="00074695">
              <w:rPr>
                <w:rFonts w:asciiTheme="minorHAnsi" w:hAnsiTheme="minorHAnsi"/>
                <w:noProof/>
                <w:sz w:val="22"/>
                <w:szCs w:val="22"/>
              </w:rPr>
              <w:tab/>
            </w:r>
            <w:r w:rsidR="00074695" w:rsidRPr="002E388A">
              <w:rPr>
                <w:rStyle w:val="Hyperlink"/>
                <w:noProof/>
              </w:rPr>
              <w:t>Initial assessment of known gene-drug relationship</w:t>
            </w:r>
            <w:r w:rsidR="00074695">
              <w:rPr>
                <w:noProof/>
                <w:webHidden/>
              </w:rPr>
              <w:tab/>
            </w:r>
            <w:r w:rsidR="00074695">
              <w:rPr>
                <w:noProof/>
                <w:webHidden/>
              </w:rPr>
              <w:fldChar w:fldCharType="begin"/>
            </w:r>
            <w:r w:rsidR="00074695">
              <w:rPr>
                <w:noProof/>
                <w:webHidden/>
              </w:rPr>
              <w:instrText xml:space="preserve"> PAGEREF _Toc13059443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29AAD48A" w14:textId="4A65CBAC" w:rsidR="00074695" w:rsidRDefault="00D37C12">
          <w:pPr>
            <w:pStyle w:val="TOC2"/>
            <w:tabs>
              <w:tab w:val="left" w:pos="660"/>
              <w:tab w:val="right" w:leader="dot" w:pos="8630"/>
            </w:tabs>
            <w:rPr>
              <w:rFonts w:asciiTheme="minorHAnsi" w:hAnsiTheme="minorHAnsi"/>
              <w:noProof/>
              <w:sz w:val="22"/>
              <w:szCs w:val="22"/>
            </w:rPr>
          </w:pPr>
          <w:hyperlink w:anchor="_Toc13059444" w:history="1">
            <w:r w:rsidR="00074695" w:rsidRPr="002E388A">
              <w:rPr>
                <w:rStyle w:val="Hyperlink"/>
                <w:noProof/>
              </w:rPr>
              <w:t>2.</w:t>
            </w:r>
            <w:r w:rsidR="00074695">
              <w:rPr>
                <w:rFonts w:asciiTheme="minorHAnsi" w:hAnsiTheme="minorHAnsi"/>
                <w:noProof/>
                <w:sz w:val="22"/>
                <w:szCs w:val="22"/>
              </w:rPr>
              <w:tab/>
            </w:r>
            <w:r w:rsidR="00074695" w:rsidRPr="002E388A">
              <w:rPr>
                <w:rStyle w:val="Hyperlink"/>
                <w:noProof/>
              </w:rPr>
              <w:t>Identification of content experts and formation of writing committee</w:t>
            </w:r>
            <w:r w:rsidR="00074695">
              <w:rPr>
                <w:noProof/>
                <w:webHidden/>
              </w:rPr>
              <w:tab/>
            </w:r>
            <w:r w:rsidR="00074695">
              <w:rPr>
                <w:noProof/>
                <w:webHidden/>
              </w:rPr>
              <w:fldChar w:fldCharType="begin"/>
            </w:r>
            <w:r w:rsidR="00074695">
              <w:rPr>
                <w:noProof/>
                <w:webHidden/>
              </w:rPr>
              <w:instrText xml:space="preserve"> PAGEREF _Toc13059444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19A88AB3" w14:textId="586029F8" w:rsidR="00074695" w:rsidRDefault="00D37C12">
          <w:pPr>
            <w:pStyle w:val="TOC2"/>
            <w:tabs>
              <w:tab w:val="left" w:pos="660"/>
              <w:tab w:val="right" w:leader="dot" w:pos="8630"/>
            </w:tabs>
            <w:rPr>
              <w:rFonts w:asciiTheme="minorHAnsi" w:hAnsiTheme="minorHAnsi"/>
              <w:noProof/>
              <w:sz w:val="22"/>
              <w:szCs w:val="22"/>
            </w:rPr>
          </w:pPr>
          <w:hyperlink w:anchor="_Toc13059445" w:history="1">
            <w:r w:rsidR="00074695" w:rsidRPr="002E388A">
              <w:rPr>
                <w:rStyle w:val="Hyperlink"/>
                <w:noProof/>
              </w:rPr>
              <w:t>3.</w:t>
            </w:r>
            <w:r w:rsidR="00074695">
              <w:rPr>
                <w:rFonts w:asciiTheme="minorHAnsi" w:hAnsiTheme="minorHAnsi"/>
                <w:noProof/>
                <w:sz w:val="22"/>
                <w:szCs w:val="22"/>
              </w:rPr>
              <w:tab/>
            </w:r>
            <w:r w:rsidR="00074695" w:rsidRPr="002E388A">
              <w:rPr>
                <w:rStyle w:val="Hyperlink"/>
                <w:noProof/>
              </w:rPr>
              <w:t>Management of Conflicts of Interest</w:t>
            </w:r>
            <w:r w:rsidR="00074695">
              <w:rPr>
                <w:noProof/>
                <w:webHidden/>
              </w:rPr>
              <w:tab/>
            </w:r>
            <w:r w:rsidR="00074695">
              <w:rPr>
                <w:noProof/>
                <w:webHidden/>
              </w:rPr>
              <w:fldChar w:fldCharType="begin"/>
            </w:r>
            <w:r w:rsidR="00074695">
              <w:rPr>
                <w:noProof/>
                <w:webHidden/>
              </w:rPr>
              <w:instrText xml:space="preserve"> PAGEREF _Toc13059445 \h </w:instrText>
            </w:r>
            <w:r w:rsidR="00074695">
              <w:rPr>
                <w:noProof/>
                <w:webHidden/>
              </w:rPr>
            </w:r>
            <w:r w:rsidR="00074695">
              <w:rPr>
                <w:noProof/>
                <w:webHidden/>
              </w:rPr>
              <w:fldChar w:fldCharType="separate"/>
            </w:r>
            <w:r w:rsidR="00074695">
              <w:rPr>
                <w:noProof/>
                <w:webHidden/>
              </w:rPr>
              <w:t>3</w:t>
            </w:r>
            <w:r w:rsidR="00074695">
              <w:rPr>
                <w:noProof/>
                <w:webHidden/>
              </w:rPr>
              <w:fldChar w:fldCharType="end"/>
            </w:r>
          </w:hyperlink>
        </w:p>
        <w:p w14:paraId="71DDC353" w14:textId="52A2A7FF" w:rsidR="00074695" w:rsidRDefault="00D37C12">
          <w:pPr>
            <w:pStyle w:val="TOC2"/>
            <w:tabs>
              <w:tab w:val="left" w:pos="660"/>
              <w:tab w:val="right" w:leader="dot" w:pos="8630"/>
            </w:tabs>
            <w:rPr>
              <w:rFonts w:asciiTheme="minorHAnsi" w:hAnsiTheme="minorHAnsi"/>
              <w:noProof/>
              <w:sz w:val="22"/>
              <w:szCs w:val="22"/>
            </w:rPr>
          </w:pPr>
          <w:hyperlink w:anchor="_Toc13059446" w:history="1">
            <w:r w:rsidR="00074695" w:rsidRPr="002E388A">
              <w:rPr>
                <w:rStyle w:val="Hyperlink"/>
                <w:noProof/>
              </w:rPr>
              <w:t>4.</w:t>
            </w:r>
            <w:r w:rsidR="00074695">
              <w:rPr>
                <w:rFonts w:asciiTheme="minorHAnsi" w:hAnsiTheme="minorHAnsi"/>
                <w:noProof/>
                <w:sz w:val="22"/>
                <w:szCs w:val="22"/>
              </w:rPr>
              <w:tab/>
            </w:r>
            <w:r w:rsidR="00074695" w:rsidRPr="002E388A">
              <w:rPr>
                <w:rStyle w:val="Hyperlink"/>
                <w:noProof/>
              </w:rPr>
              <w:t>Review guidelines from professional societies</w:t>
            </w:r>
            <w:r w:rsidR="00074695">
              <w:rPr>
                <w:noProof/>
                <w:webHidden/>
              </w:rPr>
              <w:tab/>
            </w:r>
            <w:r w:rsidR="00074695">
              <w:rPr>
                <w:noProof/>
                <w:webHidden/>
              </w:rPr>
              <w:fldChar w:fldCharType="begin"/>
            </w:r>
            <w:r w:rsidR="00074695">
              <w:rPr>
                <w:noProof/>
                <w:webHidden/>
              </w:rPr>
              <w:instrText xml:space="preserve"> PAGEREF _Toc13059446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639B403C" w14:textId="6347C450" w:rsidR="00074695" w:rsidRDefault="00D37C12">
          <w:pPr>
            <w:pStyle w:val="TOC2"/>
            <w:tabs>
              <w:tab w:val="left" w:pos="660"/>
              <w:tab w:val="right" w:leader="dot" w:pos="8630"/>
            </w:tabs>
            <w:rPr>
              <w:rFonts w:asciiTheme="minorHAnsi" w:hAnsiTheme="minorHAnsi"/>
              <w:noProof/>
              <w:sz w:val="22"/>
              <w:szCs w:val="22"/>
            </w:rPr>
          </w:pPr>
          <w:hyperlink w:anchor="_Toc13059447" w:history="1">
            <w:r w:rsidR="00074695" w:rsidRPr="002E388A">
              <w:rPr>
                <w:rStyle w:val="Hyperlink"/>
                <w:noProof/>
              </w:rPr>
              <w:t>5.</w:t>
            </w:r>
            <w:r w:rsidR="00074695">
              <w:rPr>
                <w:rFonts w:asciiTheme="minorHAnsi" w:hAnsiTheme="minorHAnsi"/>
                <w:noProof/>
                <w:sz w:val="22"/>
                <w:szCs w:val="22"/>
              </w:rPr>
              <w:tab/>
            </w:r>
            <w:r w:rsidR="00074695" w:rsidRPr="002E388A">
              <w:rPr>
                <w:rStyle w:val="Hyperlink"/>
                <w:noProof/>
              </w:rPr>
              <w:t>Conference call with co-authors and participants</w:t>
            </w:r>
            <w:r w:rsidR="00074695">
              <w:rPr>
                <w:noProof/>
                <w:webHidden/>
              </w:rPr>
              <w:tab/>
            </w:r>
            <w:r w:rsidR="00074695">
              <w:rPr>
                <w:noProof/>
                <w:webHidden/>
              </w:rPr>
              <w:fldChar w:fldCharType="begin"/>
            </w:r>
            <w:r w:rsidR="00074695">
              <w:rPr>
                <w:noProof/>
                <w:webHidden/>
              </w:rPr>
              <w:instrText xml:space="preserve"> PAGEREF _Toc13059447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55FC2C04" w14:textId="519C535E" w:rsidR="00074695" w:rsidRDefault="00D37C12">
          <w:pPr>
            <w:pStyle w:val="TOC2"/>
            <w:tabs>
              <w:tab w:val="left" w:pos="660"/>
              <w:tab w:val="right" w:leader="dot" w:pos="8630"/>
            </w:tabs>
            <w:rPr>
              <w:rFonts w:asciiTheme="minorHAnsi" w:hAnsiTheme="minorHAnsi"/>
              <w:noProof/>
              <w:sz w:val="22"/>
              <w:szCs w:val="22"/>
            </w:rPr>
          </w:pPr>
          <w:hyperlink w:anchor="_Toc13059448" w:history="1">
            <w:r w:rsidR="00074695" w:rsidRPr="002E388A">
              <w:rPr>
                <w:rStyle w:val="Hyperlink"/>
                <w:noProof/>
              </w:rPr>
              <w:t>6.</w:t>
            </w:r>
            <w:r w:rsidR="00074695">
              <w:rPr>
                <w:rFonts w:asciiTheme="minorHAnsi" w:hAnsiTheme="minorHAnsi"/>
                <w:noProof/>
                <w:sz w:val="22"/>
                <w:szCs w:val="22"/>
              </w:rPr>
              <w:tab/>
            </w:r>
            <w:r w:rsidR="00074695" w:rsidRPr="002E388A">
              <w:rPr>
                <w:rStyle w:val="Hyperlink"/>
                <w:noProof/>
              </w:rPr>
              <w:t>Evidence review</w:t>
            </w:r>
            <w:r w:rsidR="00074695">
              <w:rPr>
                <w:noProof/>
                <w:webHidden/>
              </w:rPr>
              <w:tab/>
            </w:r>
            <w:r w:rsidR="00074695">
              <w:rPr>
                <w:noProof/>
                <w:webHidden/>
              </w:rPr>
              <w:fldChar w:fldCharType="begin"/>
            </w:r>
            <w:r w:rsidR="00074695">
              <w:rPr>
                <w:noProof/>
                <w:webHidden/>
              </w:rPr>
              <w:instrText xml:space="preserve"> PAGEREF _Toc13059448 \h </w:instrText>
            </w:r>
            <w:r w:rsidR="00074695">
              <w:rPr>
                <w:noProof/>
                <w:webHidden/>
              </w:rPr>
            </w:r>
            <w:r w:rsidR="00074695">
              <w:rPr>
                <w:noProof/>
                <w:webHidden/>
              </w:rPr>
              <w:fldChar w:fldCharType="separate"/>
            </w:r>
            <w:r w:rsidR="00074695">
              <w:rPr>
                <w:noProof/>
                <w:webHidden/>
              </w:rPr>
              <w:t>4</w:t>
            </w:r>
            <w:r w:rsidR="00074695">
              <w:rPr>
                <w:noProof/>
                <w:webHidden/>
              </w:rPr>
              <w:fldChar w:fldCharType="end"/>
            </w:r>
          </w:hyperlink>
        </w:p>
        <w:p w14:paraId="463176B6" w14:textId="4825649A" w:rsidR="00074695" w:rsidRDefault="00D37C12">
          <w:pPr>
            <w:pStyle w:val="TOC2"/>
            <w:tabs>
              <w:tab w:val="left" w:pos="660"/>
              <w:tab w:val="right" w:leader="dot" w:pos="8630"/>
            </w:tabs>
            <w:rPr>
              <w:rFonts w:asciiTheme="minorHAnsi" w:hAnsiTheme="minorHAnsi"/>
              <w:noProof/>
              <w:sz w:val="22"/>
              <w:szCs w:val="22"/>
            </w:rPr>
          </w:pPr>
          <w:hyperlink w:anchor="_Toc13059449" w:history="1">
            <w:r w:rsidR="00074695" w:rsidRPr="002E388A">
              <w:rPr>
                <w:rStyle w:val="Hyperlink"/>
                <w:noProof/>
              </w:rPr>
              <w:t>7.</w:t>
            </w:r>
            <w:r w:rsidR="00074695">
              <w:rPr>
                <w:rFonts w:asciiTheme="minorHAnsi" w:hAnsiTheme="minorHAnsi"/>
                <w:noProof/>
                <w:sz w:val="22"/>
                <w:szCs w:val="22"/>
              </w:rPr>
              <w:tab/>
            </w:r>
            <w:r w:rsidR="00074695" w:rsidRPr="002E388A">
              <w:rPr>
                <w:rStyle w:val="Hyperlink"/>
                <w:noProof/>
              </w:rPr>
              <w:t>Finalize a draft of Table 2</w:t>
            </w:r>
            <w:r w:rsidR="00074695">
              <w:rPr>
                <w:noProof/>
                <w:webHidden/>
              </w:rPr>
              <w:tab/>
            </w:r>
            <w:r w:rsidR="00074695">
              <w:rPr>
                <w:noProof/>
                <w:webHidden/>
              </w:rPr>
              <w:fldChar w:fldCharType="begin"/>
            </w:r>
            <w:r w:rsidR="00074695">
              <w:rPr>
                <w:noProof/>
                <w:webHidden/>
              </w:rPr>
              <w:instrText xml:space="preserve"> PAGEREF _Toc13059449 \h </w:instrText>
            </w:r>
            <w:r w:rsidR="00074695">
              <w:rPr>
                <w:noProof/>
                <w:webHidden/>
              </w:rPr>
            </w:r>
            <w:r w:rsidR="00074695">
              <w:rPr>
                <w:noProof/>
                <w:webHidden/>
              </w:rPr>
              <w:fldChar w:fldCharType="separate"/>
            </w:r>
            <w:r w:rsidR="00074695">
              <w:rPr>
                <w:noProof/>
                <w:webHidden/>
              </w:rPr>
              <w:t>8</w:t>
            </w:r>
            <w:r w:rsidR="00074695">
              <w:rPr>
                <w:noProof/>
                <w:webHidden/>
              </w:rPr>
              <w:fldChar w:fldCharType="end"/>
            </w:r>
          </w:hyperlink>
        </w:p>
        <w:p w14:paraId="72A3F51D" w14:textId="6DF47D96" w:rsidR="00074695" w:rsidRDefault="00D37C12">
          <w:pPr>
            <w:pStyle w:val="TOC2"/>
            <w:tabs>
              <w:tab w:val="left" w:pos="660"/>
              <w:tab w:val="right" w:leader="dot" w:pos="8630"/>
            </w:tabs>
            <w:rPr>
              <w:rFonts w:asciiTheme="minorHAnsi" w:hAnsiTheme="minorHAnsi"/>
              <w:noProof/>
              <w:sz w:val="22"/>
              <w:szCs w:val="22"/>
            </w:rPr>
          </w:pPr>
          <w:hyperlink w:anchor="_Toc13059450" w:history="1">
            <w:r w:rsidR="00074695" w:rsidRPr="002E388A">
              <w:rPr>
                <w:rStyle w:val="Hyperlink"/>
                <w:noProof/>
              </w:rPr>
              <w:t>8.</w:t>
            </w:r>
            <w:r w:rsidR="00074695">
              <w:rPr>
                <w:rFonts w:asciiTheme="minorHAnsi" w:hAnsiTheme="minorHAnsi"/>
                <w:noProof/>
                <w:sz w:val="22"/>
                <w:szCs w:val="22"/>
              </w:rPr>
              <w:tab/>
            </w:r>
            <w:r w:rsidR="00074695" w:rsidRPr="002E388A">
              <w:rPr>
                <w:rStyle w:val="Hyperlink"/>
                <w:noProof/>
              </w:rPr>
              <w:t>Identify available genetic test and variants tested.</w:t>
            </w:r>
            <w:r w:rsidR="00074695">
              <w:rPr>
                <w:noProof/>
                <w:webHidden/>
              </w:rPr>
              <w:tab/>
            </w:r>
            <w:r w:rsidR="00074695">
              <w:rPr>
                <w:noProof/>
                <w:webHidden/>
              </w:rPr>
              <w:fldChar w:fldCharType="begin"/>
            </w:r>
            <w:r w:rsidR="00074695">
              <w:rPr>
                <w:noProof/>
                <w:webHidden/>
              </w:rPr>
              <w:instrText xml:space="preserve"> PAGEREF _Toc13059450 \h </w:instrText>
            </w:r>
            <w:r w:rsidR="00074695">
              <w:rPr>
                <w:noProof/>
                <w:webHidden/>
              </w:rPr>
            </w:r>
            <w:r w:rsidR="00074695">
              <w:rPr>
                <w:noProof/>
                <w:webHidden/>
              </w:rPr>
              <w:fldChar w:fldCharType="separate"/>
            </w:r>
            <w:r w:rsidR="00074695">
              <w:rPr>
                <w:noProof/>
                <w:webHidden/>
              </w:rPr>
              <w:t>10</w:t>
            </w:r>
            <w:r w:rsidR="00074695">
              <w:rPr>
                <w:noProof/>
                <w:webHidden/>
              </w:rPr>
              <w:fldChar w:fldCharType="end"/>
            </w:r>
          </w:hyperlink>
        </w:p>
        <w:p w14:paraId="16FF40F0" w14:textId="22129624" w:rsidR="00074695" w:rsidRDefault="00D37C12">
          <w:pPr>
            <w:pStyle w:val="TOC2"/>
            <w:tabs>
              <w:tab w:val="left" w:pos="660"/>
              <w:tab w:val="right" w:leader="dot" w:pos="8630"/>
            </w:tabs>
            <w:rPr>
              <w:rFonts w:asciiTheme="minorHAnsi" w:hAnsiTheme="minorHAnsi"/>
              <w:noProof/>
              <w:sz w:val="22"/>
              <w:szCs w:val="22"/>
            </w:rPr>
          </w:pPr>
          <w:hyperlink w:anchor="_Toc13059451" w:history="1">
            <w:r w:rsidR="00074695" w:rsidRPr="002E388A">
              <w:rPr>
                <w:rStyle w:val="Hyperlink"/>
                <w:noProof/>
              </w:rPr>
              <w:t>9.</w:t>
            </w:r>
            <w:r w:rsidR="00074695">
              <w:rPr>
                <w:rFonts w:asciiTheme="minorHAnsi" w:hAnsiTheme="minorHAnsi"/>
                <w:noProof/>
                <w:sz w:val="22"/>
                <w:szCs w:val="22"/>
              </w:rPr>
              <w:tab/>
            </w:r>
            <w:r w:rsidR="00074695" w:rsidRPr="002E388A">
              <w:rPr>
                <w:rStyle w:val="Hyperlink"/>
                <w:noProof/>
              </w:rPr>
              <w:t>Draft a Table 1 (genotype to phenotype correlation)</w:t>
            </w:r>
            <w:r w:rsidR="00074695">
              <w:rPr>
                <w:noProof/>
                <w:webHidden/>
              </w:rPr>
              <w:tab/>
            </w:r>
            <w:r w:rsidR="00074695">
              <w:rPr>
                <w:noProof/>
                <w:webHidden/>
              </w:rPr>
              <w:fldChar w:fldCharType="begin"/>
            </w:r>
            <w:r w:rsidR="00074695">
              <w:rPr>
                <w:noProof/>
                <w:webHidden/>
              </w:rPr>
              <w:instrText xml:space="preserve"> PAGEREF _Toc13059451 \h </w:instrText>
            </w:r>
            <w:r w:rsidR="00074695">
              <w:rPr>
                <w:noProof/>
                <w:webHidden/>
              </w:rPr>
            </w:r>
            <w:r w:rsidR="00074695">
              <w:rPr>
                <w:noProof/>
                <w:webHidden/>
              </w:rPr>
              <w:fldChar w:fldCharType="separate"/>
            </w:r>
            <w:r w:rsidR="00074695">
              <w:rPr>
                <w:noProof/>
                <w:webHidden/>
              </w:rPr>
              <w:t>11</w:t>
            </w:r>
            <w:r w:rsidR="00074695">
              <w:rPr>
                <w:noProof/>
                <w:webHidden/>
              </w:rPr>
              <w:fldChar w:fldCharType="end"/>
            </w:r>
          </w:hyperlink>
        </w:p>
        <w:p w14:paraId="596B0423" w14:textId="5A1B9831" w:rsidR="00074695" w:rsidRDefault="00D37C12">
          <w:pPr>
            <w:pStyle w:val="TOC2"/>
            <w:tabs>
              <w:tab w:val="left" w:pos="880"/>
              <w:tab w:val="right" w:leader="dot" w:pos="8630"/>
            </w:tabs>
            <w:rPr>
              <w:rFonts w:asciiTheme="minorHAnsi" w:hAnsiTheme="minorHAnsi"/>
              <w:noProof/>
              <w:sz w:val="22"/>
              <w:szCs w:val="22"/>
            </w:rPr>
          </w:pPr>
          <w:hyperlink w:anchor="_Toc13059452" w:history="1">
            <w:r w:rsidR="00074695" w:rsidRPr="002E388A">
              <w:rPr>
                <w:rStyle w:val="Hyperlink"/>
                <w:rFonts w:cs="Times New Roman"/>
                <w:noProof/>
              </w:rPr>
              <w:t>10.</w:t>
            </w:r>
            <w:r w:rsidR="00074695">
              <w:rPr>
                <w:rFonts w:asciiTheme="minorHAnsi" w:hAnsiTheme="minorHAnsi"/>
                <w:noProof/>
                <w:sz w:val="22"/>
                <w:szCs w:val="22"/>
              </w:rPr>
              <w:tab/>
            </w:r>
            <w:r w:rsidR="00074695" w:rsidRPr="002E388A">
              <w:rPr>
                <w:rStyle w:val="Hyperlink"/>
                <w:rFonts w:cs="Times New Roman"/>
                <w:noProof/>
              </w:rPr>
              <w:t>Write manuscript text</w:t>
            </w:r>
            <w:r w:rsidR="00074695">
              <w:rPr>
                <w:noProof/>
                <w:webHidden/>
              </w:rPr>
              <w:tab/>
            </w:r>
            <w:r w:rsidR="00074695">
              <w:rPr>
                <w:noProof/>
                <w:webHidden/>
              </w:rPr>
              <w:fldChar w:fldCharType="begin"/>
            </w:r>
            <w:r w:rsidR="00074695">
              <w:rPr>
                <w:noProof/>
                <w:webHidden/>
              </w:rPr>
              <w:instrText xml:space="preserve"> PAGEREF _Toc13059452 \h </w:instrText>
            </w:r>
            <w:r w:rsidR="00074695">
              <w:rPr>
                <w:noProof/>
                <w:webHidden/>
              </w:rPr>
            </w:r>
            <w:r w:rsidR="00074695">
              <w:rPr>
                <w:noProof/>
                <w:webHidden/>
              </w:rPr>
              <w:fldChar w:fldCharType="separate"/>
            </w:r>
            <w:r w:rsidR="00074695">
              <w:rPr>
                <w:noProof/>
                <w:webHidden/>
              </w:rPr>
              <w:t>11</w:t>
            </w:r>
            <w:r w:rsidR="00074695">
              <w:rPr>
                <w:noProof/>
                <w:webHidden/>
              </w:rPr>
              <w:fldChar w:fldCharType="end"/>
            </w:r>
          </w:hyperlink>
        </w:p>
        <w:p w14:paraId="798AA175" w14:textId="26454D33" w:rsidR="00074695" w:rsidRDefault="00D37C12">
          <w:pPr>
            <w:pStyle w:val="TOC2"/>
            <w:tabs>
              <w:tab w:val="left" w:pos="880"/>
              <w:tab w:val="right" w:leader="dot" w:pos="8630"/>
            </w:tabs>
            <w:rPr>
              <w:rFonts w:asciiTheme="minorHAnsi" w:hAnsiTheme="minorHAnsi"/>
              <w:noProof/>
              <w:sz w:val="22"/>
              <w:szCs w:val="22"/>
            </w:rPr>
          </w:pPr>
          <w:hyperlink w:anchor="_Toc13059453" w:history="1">
            <w:r w:rsidR="00074695" w:rsidRPr="002E388A">
              <w:rPr>
                <w:rStyle w:val="Hyperlink"/>
                <w:rFonts w:cs="Times New Roman"/>
                <w:noProof/>
              </w:rPr>
              <w:t>11.</w:t>
            </w:r>
            <w:r w:rsidR="00074695">
              <w:rPr>
                <w:rFonts w:asciiTheme="minorHAnsi" w:hAnsiTheme="minorHAnsi"/>
                <w:noProof/>
                <w:sz w:val="22"/>
                <w:szCs w:val="22"/>
              </w:rPr>
              <w:tab/>
            </w:r>
            <w:r w:rsidR="00074695" w:rsidRPr="002E388A">
              <w:rPr>
                <w:rStyle w:val="Hyperlink"/>
                <w:noProof/>
              </w:rPr>
              <w:t>Construct supplemental data tables and gene-specific information tables</w:t>
            </w:r>
            <w:r w:rsidR="00074695">
              <w:rPr>
                <w:noProof/>
                <w:webHidden/>
              </w:rPr>
              <w:tab/>
            </w:r>
            <w:r w:rsidR="00074695">
              <w:rPr>
                <w:noProof/>
                <w:webHidden/>
              </w:rPr>
              <w:fldChar w:fldCharType="begin"/>
            </w:r>
            <w:r w:rsidR="00074695">
              <w:rPr>
                <w:noProof/>
                <w:webHidden/>
              </w:rPr>
              <w:instrText xml:space="preserve"> PAGEREF _Toc13059453 \h </w:instrText>
            </w:r>
            <w:r w:rsidR="00074695">
              <w:rPr>
                <w:noProof/>
                <w:webHidden/>
              </w:rPr>
            </w:r>
            <w:r w:rsidR="00074695">
              <w:rPr>
                <w:noProof/>
                <w:webHidden/>
              </w:rPr>
              <w:fldChar w:fldCharType="separate"/>
            </w:r>
            <w:r w:rsidR="00074695">
              <w:rPr>
                <w:noProof/>
                <w:webHidden/>
              </w:rPr>
              <w:t>12</w:t>
            </w:r>
            <w:r w:rsidR="00074695">
              <w:rPr>
                <w:noProof/>
                <w:webHidden/>
              </w:rPr>
              <w:fldChar w:fldCharType="end"/>
            </w:r>
          </w:hyperlink>
        </w:p>
        <w:p w14:paraId="5660F12D" w14:textId="47C733CD" w:rsidR="00074695" w:rsidRDefault="00D37C12">
          <w:pPr>
            <w:pStyle w:val="TOC2"/>
            <w:tabs>
              <w:tab w:val="left" w:pos="880"/>
              <w:tab w:val="right" w:leader="dot" w:pos="8630"/>
            </w:tabs>
            <w:rPr>
              <w:rFonts w:asciiTheme="minorHAnsi" w:hAnsiTheme="minorHAnsi"/>
              <w:noProof/>
              <w:sz w:val="22"/>
              <w:szCs w:val="22"/>
            </w:rPr>
          </w:pPr>
          <w:hyperlink w:anchor="_Toc13059454" w:history="1">
            <w:r w:rsidR="00074695" w:rsidRPr="002E388A">
              <w:rPr>
                <w:rStyle w:val="Hyperlink"/>
                <w:noProof/>
              </w:rPr>
              <w:t>12.</w:t>
            </w:r>
            <w:r w:rsidR="00074695">
              <w:rPr>
                <w:rFonts w:asciiTheme="minorHAnsi" w:hAnsiTheme="minorHAnsi"/>
                <w:noProof/>
                <w:sz w:val="22"/>
                <w:szCs w:val="22"/>
              </w:rPr>
              <w:tab/>
            </w:r>
            <w:r w:rsidR="00074695" w:rsidRPr="002E388A">
              <w:rPr>
                <w:rStyle w:val="Hyperlink"/>
                <w:noProof/>
              </w:rPr>
              <w:t>Construct Clinical Decision Support (CDS) workflow figures and translation tables</w:t>
            </w:r>
            <w:r w:rsidR="00074695">
              <w:rPr>
                <w:noProof/>
                <w:webHidden/>
              </w:rPr>
              <w:tab/>
              <w:t>…………………………………………………………………………………</w:t>
            </w:r>
            <w:r w:rsidR="00074695">
              <w:rPr>
                <w:noProof/>
                <w:webHidden/>
              </w:rPr>
              <w:fldChar w:fldCharType="begin"/>
            </w:r>
            <w:r w:rsidR="00074695">
              <w:rPr>
                <w:noProof/>
                <w:webHidden/>
              </w:rPr>
              <w:instrText xml:space="preserve"> PAGEREF _Toc13059454 \h </w:instrText>
            </w:r>
            <w:r w:rsidR="00074695">
              <w:rPr>
                <w:noProof/>
                <w:webHidden/>
              </w:rPr>
            </w:r>
            <w:r w:rsidR="00074695">
              <w:rPr>
                <w:noProof/>
                <w:webHidden/>
              </w:rPr>
              <w:fldChar w:fldCharType="separate"/>
            </w:r>
            <w:r w:rsidR="00074695">
              <w:rPr>
                <w:noProof/>
                <w:webHidden/>
              </w:rPr>
              <w:t>12</w:t>
            </w:r>
            <w:r w:rsidR="00074695">
              <w:rPr>
                <w:noProof/>
                <w:webHidden/>
              </w:rPr>
              <w:fldChar w:fldCharType="end"/>
            </w:r>
          </w:hyperlink>
        </w:p>
        <w:p w14:paraId="601125EF" w14:textId="1475D572" w:rsidR="00074695" w:rsidRDefault="00D37C12">
          <w:pPr>
            <w:pStyle w:val="TOC2"/>
            <w:tabs>
              <w:tab w:val="left" w:pos="880"/>
              <w:tab w:val="right" w:leader="dot" w:pos="8630"/>
            </w:tabs>
            <w:rPr>
              <w:rFonts w:asciiTheme="minorHAnsi" w:hAnsiTheme="minorHAnsi"/>
              <w:noProof/>
              <w:sz w:val="22"/>
              <w:szCs w:val="22"/>
            </w:rPr>
          </w:pPr>
          <w:hyperlink w:anchor="_Toc13059455" w:history="1">
            <w:r w:rsidR="00074695" w:rsidRPr="002E388A">
              <w:rPr>
                <w:rStyle w:val="Hyperlink"/>
                <w:noProof/>
              </w:rPr>
              <w:t>13.</w:t>
            </w:r>
            <w:r w:rsidR="00074695">
              <w:rPr>
                <w:rFonts w:asciiTheme="minorHAnsi" w:hAnsiTheme="minorHAnsi"/>
                <w:noProof/>
                <w:sz w:val="22"/>
                <w:szCs w:val="22"/>
              </w:rPr>
              <w:tab/>
            </w:r>
            <w:r w:rsidR="00074695" w:rsidRPr="002E388A">
              <w:rPr>
                <w:rStyle w:val="Hyperlink"/>
                <w:noProof/>
              </w:rPr>
              <w:t>Populations</w:t>
            </w:r>
            <w:r w:rsidR="00074695">
              <w:rPr>
                <w:noProof/>
                <w:webHidden/>
              </w:rPr>
              <w:tab/>
            </w:r>
            <w:r w:rsidR="00074695">
              <w:rPr>
                <w:noProof/>
                <w:webHidden/>
              </w:rPr>
              <w:fldChar w:fldCharType="begin"/>
            </w:r>
            <w:r w:rsidR="00074695">
              <w:rPr>
                <w:noProof/>
                <w:webHidden/>
              </w:rPr>
              <w:instrText xml:space="preserve"> PAGEREF _Toc13059455 \h </w:instrText>
            </w:r>
            <w:r w:rsidR="00074695">
              <w:rPr>
                <w:noProof/>
                <w:webHidden/>
              </w:rPr>
            </w:r>
            <w:r w:rsidR="00074695">
              <w:rPr>
                <w:noProof/>
                <w:webHidden/>
              </w:rPr>
              <w:fldChar w:fldCharType="separate"/>
            </w:r>
            <w:r w:rsidR="00074695">
              <w:rPr>
                <w:noProof/>
                <w:webHidden/>
              </w:rPr>
              <w:t>13</w:t>
            </w:r>
            <w:r w:rsidR="00074695">
              <w:rPr>
                <w:noProof/>
                <w:webHidden/>
              </w:rPr>
              <w:fldChar w:fldCharType="end"/>
            </w:r>
          </w:hyperlink>
        </w:p>
        <w:p w14:paraId="0CE932D2" w14:textId="67E2A1AC" w:rsidR="00074695" w:rsidRDefault="00D37C12">
          <w:pPr>
            <w:pStyle w:val="TOC2"/>
            <w:tabs>
              <w:tab w:val="left" w:pos="880"/>
              <w:tab w:val="right" w:leader="dot" w:pos="8630"/>
            </w:tabs>
            <w:rPr>
              <w:rFonts w:asciiTheme="minorHAnsi" w:hAnsiTheme="minorHAnsi"/>
              <w:noProof/>
              <w:sz w:val="22"/>
              <w:szCs w:val="22"/>
            </w:rPr>
          </w:pPr>
          <w:hyperlink w:anchor="_Toc13059456" w:history="1">
            <w:r w:rsidR="00074695" w:rsidRPr="002E388A">
              <w:rPr>
                <w:rStyle w:val="Hyperlink"/>
                <w:noProof/>
              </w:rPr>
              <w:t>14.</w:t>
            </w:r>
            <w:r w:rsidR="00074695" w:rsidRPr="002E388A">
              <w:rPr>
                <w:rStyle w:val="Hyperlink"/>
                <w:i/>
                <w:noProof/>
              </w:rPr>
              <w:t xml:space="preserve"> </w:t>
            </w:r>
            <w:r w:rsidR="00074695">
              <w:rPr>
                <w:rFonts w:asciiTheme="minorHAnsi" w:hAnsiTheme="minorHAnsi"/>
                <w:noProof/>
                <w:sz w:val="22"/>
                <w:szCs w:val="22"/>
              </w:rPr>
              <w:tab/>
            </w:r>
            <w:r w:rsidR="00074695" w:rsidRPr="002E388A">
              <w:rPr>
                <w:rStyle w:val="Hyperlink"/>
                <w:noProof/>
              </w:rPr>
              <w:t>Disclaimer, conflicts of interest and acknowledgments</w:t>
            </w:r>
            <w:r w:rsidR="00074695">
              <w:rPr>
                <w:noProof/>
                <w:webHidden/>
              </w:rPr>
              <w:tab/>
            </w:r>
            <w:r w:rsidR="00074695">
              <w:rPr>
                <w:noProof/>
                <w:webHidden/>
              </w:rPr>
              <w:fldChar w:fldCharType="begin"/>
            </w:r>
            <w:r w:rsidR="00074695">
              <w:rPr>
                <w:noProof/>
                <w:webHidden/>
              </w:rPr>
              <w:instrText xml:space="preserve"> PAGEREF _Toc13059456 \h </w:instrText>
            </w:r>
            <w:r w:rsidR="00074695">
              <w:rPr>
                <w:noProof/>
                <w:webHidden/>
              </w:rPr>
            </w:r>
            <w:r w:rsidR="00074695">
              <w:rPr>
                <w:noProof/>
                <w:webHidden/>
              </w:rPr>
              <w:fldChar w:fldCharType="separate"/>
            </w:r>
            <w:r w:rsidR="00074695">
              <w:rPr>
                <w:noProof/>
                <w:webHidden/>
              </w:rPr>
              <w:t>13</w:t>
            </w:r>
            <w:r w:rsidR="00074695">
              <w:rPr>
                <w:noProof/>
                <w:webHidden/>
              </w:rPr>
              <w:fldChar w:fldCharType="end"/>
            </w:r>
          </w:hyperlink>
        </w:p>
        <w:p w14:paraId="694F5277" w14:textId="21C584F3" w:rsidR="00074695" w:rsidRDefault="00D37C12">
          <w:pPr>
            <w:pStyle w:val="TOC2"/>
            <w:tabs>
              <w:tab w:val="left" w:pos="880"/>
              <w:tab w:val="right" w:leader="dot" w:pos="8630"/>
            </w:tabs>
            <w:rPr>
              <w:rFonts w:asciiTheme="minorHAnsi" w:hAnsiTheme="minorHAnsi"/>
              <w:noProof/>
              <w:sz w:val="22"/>
              <w:szCs w:val="22"/>
            </w:rPr>
          </w:pPr>
          <w:hyperlink w:anchor="_Toc13059457" w:history="1">
            <w:r w:rsidR="00074695" w:rsidRPr="002E388A">
              <w:rPr>
                <w:rStyle w:val="Hyperlink"/>
                <w:noProof/>
              </w:rPr>
              <w:t xml:space="preserve">15. </w:t>
            </w:r>
            <w:r w:rsidR="00074695">
              <w:rPr>
                <w:rFonts w:asciiTheme="minorHAnsi" w:hAnsiTheme="minorHAnsi"/>
                <w:noProof/>
                <w:sz w:val="22"/>
                <w:szCs w:val="22"/>
              </w:rPr>
              <w:tab/>
            </w:r>
            <w:r w:rsidR="00074695" w:rsidRPr="002E388A">
              <w:rPr>
                <w:rStyle w:val="Hyperlink"/>
                <w:noProof/>
              </w:rPr>
              <w:t>Internal review</w:t>
            </w:r>
            <w:r w:rsidR="00074695">
              <w:rPr>
                <w:noProof/>
                <w:webHidden/>
              </w:rPr>
              <w:tab/>
            </w:r>
            <w:r w:rsidR="00074695">
              <w:rPr>
                <w:noProof/>
                <w:webHidden/>
              </w:rPr>
              <w:fldChar w:fldCharType="begin"/>
            </w:r>
            <w:r w:rsidR="00074695">
              <w:rPr>
                <w:noProof/>
                <w:webHidden/>
              </w:rPr>
              <w:instrText xml:space="preserve"> PAGEREF _Toc13059457 \h </w:instrText>
            </w:r>
            <w:r w:rsidR="00074695">
              <w:rPr>
                <w:noProof/>
                <w:webHidden/>
              </w:rPr>
            </w:r>
            <w:r w:rsidR="00074695">
              <w:rPr>
                <w:noProof/>
                <w:webHidden/>
              </w:rPr>
              <w:fldChar w:fldCharType="separate"/>
            </w:r>
            <w:r w:rsidR="00074695">
              <w:rPr>
                <w:noProof/>
                <w:webHidden/>
              </w:rPr>
              <w:t>14</w:t>
            </w:r>
            <w:r w:rsidR="00074695">
              <w:rPr>
                <w:noProof/>
                <w:webHidden/>
              </w:rPr>
              <w:fldChar w:fldCharType="end"/>
            </w:r>
          </w:hyperlink>
        </w:p>
        <w:p w14:paraId="231B9791" w14:textId="6238B6CD" w:rsidR="00074695" w:rsidRDefault="00D37C12">
          <w:pPr>
            <w:pStyle w:val="TOC2"/>
            <w:tabs>
              <w:tab w:val="left" w:pos="880"/>
              <w:tab w:val="right" w:leader="dot" w:pos="8630"/>
            </w:tabs>
            <w:rPr>
              <w:rFonts w:asciiTheme="minorHAnsi" w:hAnsiTheme="minorHAnsi"/>
              <w:noProof/>
              <w:sz w:val="22"/>
              <w:szCs w:val="22"/>
            </w:rPr>
          </w:pPr>
          <w:hyperlink w:anchor="_Toc13059458" w:history="1">
            <w:r w:rsidR="00074695" w:rsidRPr="002E388A">
              <w:rPr>
                <w:rStyle w:val="Hyperlink"/>
                <w:noProof/>
              </w:rPr>
              <w:t>16.</w:t>
            </w:r>
            <w:r w:rsidR="00074695">
              <w:rPr>
                <w:rFonts w:asciiTheme="minorHAnsi" w:hAnsiTheme="minorHAnsi"/>
                <w:noProof/>
                <w:sz w:val="22"/>
                <w:szCs w:val="22"/>
              </w:rPr>
              <w:tab/>
            </w:r>
            <w:r w:rsidR="00074695" w:rsidRPr="002E388A">
              <w:rPr>
                <w:rStyle w:val="Hyperlink"/>
                <w:noProof/>
              </w:rPr>
              <w:t>After publication accepted</w:t>
            </w:r>
            <w:r w:rsidR="00074695">
              <w:rPr>
                <w:noProof/>
                <w:webHidden/>
              </w:rPr>
              <w:tab/>
            </w:r>
            <w:r w:rsidR="00074695">
              <w:rPr>
                <w:noProof/>
                <w:webHidden/>
              </w:rPr>
              <w:fldChar w:fldCharType="begin"/>
            </w:r>
            <w:r w:rsidR="00074695">
              <w:rPr>
                <w:noProof/>
                <w:webHidden/>
              </w:rPr>
              <w:instrText xml:space="preserve"> PAGEREF _Toc13059458 \h </w:instrText>
            </w:r>
            <w:r w:rsidR="00074695">
              <w:rPr>
                <w:noProof/>
                <w:webHidden/>
              </w:rPr>
            </w:r>
            <w:r w:rsidR="00074695">
              <w:rPr>
                <w:noProof/>
                <w:webHidden/>
              </w:rPr>
              <w:fldChar w:fldCharType="separate"/>
            </w:r>
            <w:r w:rsidR="00074695">
              <w:rPr>
                <w:noProof/>
                <w:webHidden/>
              </w:rPr>
              <w:t>14</w:t>
            </w:r>
            <w:r w:rsidR="00074695">
              <w:rPr>
                <w:noProof/>
                <w:webHidden/>
              </w:rPr>
              <w:fldChar w:fldCharType="end"/>
            </w:r>
          </w:hyperlink>
        </w:p>
        <w:p w14:paraId="74926493" w14:textId="631C4CD9" w:rsidR="00074695" w:rsidRDefault="00D37C12">
          <w:pPr>
            <w:pStyle w:val="TOC2"/>
            <w:tabs>
              <w:tab w:val="left" w:pos="880"/>
              <w:tab w:val="right" w:leader="dot" w:pos="8630"/>
            </w:tabs>
            <w:rPr>
              <w:rFonts w:asciiTheme="minorHAnsi" w:hAnsiTheme="minorHAnsi"/>
              <w:noProof/>
              <w:sz w:val="22"/>
              <w:szCs w:val="22"/>
            </w:rPr>
          </w:pPr>
          <w:hyperlink w:anchor="_Toc13059459" w:history="1">
            <w:r w:rsidR="00074695" w:rsidRPr="002E388A">
              <w:rPr>
                <w:rStyle w:val="Hyperlink"/>
                <w:noProof/>
              </w:rPr>
              <w:t>17.</w:t>
            </w:r>
            <w:r w:rsidR="00074695">
              <w:rPr>
                <w:rFonts w:asciiTheme="minorHAnsi" w:hAnsiTheme="minorHAnsi"/>
                <w:noProof/>
                <w:sz w:val="22"/>
                <w:szCs w:val="22"/>
              </w:rPr>
              <w:tab/>
            </w:r>
            <w:r w:rsidR="00074695" w:rsidRPr="002E388A">
              <w:rPr>
                <w:rStyle w:val="Hyperlink"/>
                <w:noProof/>
              </w:rPr>
              <w:t>Guideline updates</w:t>
            </w:r>
            <w:r w:rsidR="00074695">
              <w:rPr>
                <w:noProof/>
                <w:webHidden/>
              </w:rPr>
              <w:tab/>
            </w:r>
            <w:r w:rsidR="00074695">
              <w:rPr>
                <w:noProof/>
                <w:webHidden/>
              </w:rPr>
              <w:fldChar w:fldCharType="begin"/>
            </w:r>
            <w:r w:rsidR="00074695">
              <w:rPr>
                <w:noProof/>
                <w:webHidden/>
              </w:rPr>
              <w:instrText xml:space="preserve"> PAGEREF _Toc13059459 \h </w:instrText>
            </w:r>
            <w:r w:rsidR="00074695">
              <w:rPr>
                <w:noProof/>
                <w:webHidden/>
              </w:rPr>
            </w:r>
            <w:r w:rsidR="00074695">
              <w:rPr>
                <w:noProof/>
                <w:webHidden/>
              </w:rPr>
              <w:fldChar w:fldCharType="separate"/>
            </w:r>
            <w:r w:rsidR="00074695">
              <w:rPr>
                <w:noProof/>
                <w:webHidden/>
              </w:rPr>
              <w:t>15</w:t>
            </w:r>
            <w:r w:rsidR="00074695">
              <w:rPr>
                <w:noProof/>
                <w:webHidden/>
              </w:rPr>
              <w:fldChar w:fldCharType="end"/>
            </w:r>
          </w:hyperlink>
        </w:p>
        <w:p w14:paraId="2F293F82" w14:textId="41D076F6" w:rsidR="00074695" w:rsidRDefault="00D37C12">
          <w:pPr>
            <w:pStyle w:val="TOC2"/>
            <w:tabs>
              <w:tab w:val="left" w:pos="880"/>
              <w:tab w:val="right" w:leader="dot" w:pos="8630"/>
            </w:tabs>
            <w:rPr>
              <w:rFonts w:asciiTheme="minorHAnsi" w:hAnsiTheme="minorHAnsi"/>
              <w:noProof/>
              <w:sz w:val="22"/>
              <w:szCs w:val="22"/>
            </w:rPr>
          </w:pPr>
          <w:hyperlink w:anchor="_Toc13059460" w:history="1">
            <w:r w:rsidR="00074695" w:rsidRPr="002E388A">
              <w:rPr>
                <w:rStyle w:val="Hyperlink"/>
                <w:noProof/>
              </w:rPr>
              <w:t>18.</w:t>
            </w:r>
            <w:r w:rsidR="00074695">
              <w:rPr>
                <w:rFonts w:asciiTheme="minorHAnsi" w:hAnsiTheme="minorHAnsi"/>
                <w:noProof/>
                <w:sz w:val="22"/>
                <w:szCs w:val="22"/>
              </w:rPr>
              <w:tab/>
            </w:r>
            <w:r w:rsidR="00074695" w:rsidRPr="002E388A">
              <w:rPr>
                <w:rStyle w:val="Hyperlink"/>
                <w:noProof/>
              </w:rPr>
              <w:t>Resources</w:t>
            </w:r>
            <w:r w:rsidR="00074695">
              <w:rPr>
                <w:noProof/>
                <w:webHidden/>
              </w:rPr>
              <w:tab/>
            </w:r>
            <w:r w:rsidR="00074695">
              <w:rPr>
                <w:noProof/>
                <w:webHidden/>
              </w:rPr>
              <w:fldChar w:fldCharType="begin"/>
            </w:r>
            <w:r w:rsidR="00074695">
              <w:rPr>
                <w:noProof/>
                <w:webHidden/>
              </w:rPr>
              <w:instrText xml:space="preserve"> PAGEREF _Toc13059460 \h </w:instrText>
            </w:r>
            <w:r w:rsidR="00074695">
              <w:rPr>
                <w:noProof/>
                <w:webHidden/>
              </w:rPr>
            </w:r>
            <w:r w:rsidR="00074695">
              <w:rPr>
                <w:noProof/>
                <w:webHidden/>
              </w:rPr>
              <w:fldChar w:fldCharType="separate"/>
            </w:r>
            <w:r w:rsidR="00074695">
              <w:rPr>
                <w:noProof/>
                <w:webHidden/>
              </w:rPr>
              <w:t>15</w:t>
            </w:r>
            <w:r w:rsidR="00074695">
              <w:rPr>
                <w:noProof/>
                <w:webHidden/>
              </w:rPr>
              <w:fldChar w:fldCharType="end"/>
            </w:r>
          </w:hyperlink>
        </w:p>
        <w:p w14:paraId="5C762B7A" w14:textId="23159F50" w:rsidR="00074695" w:rsidRDefault="00D37C12">
          <w:pPr>
            <w:pStyle w:val="TOC1"/>
            <w:tabs>
              <w:tab w:val="right" w:leader="dot" w:pos="8630"/>
            </w:tabs>
            <w:rPr>
              <w:rFonts w:asciiTheme="minorHAnsi" w:hAnsiTheme="minorHAnsi"/>
              <w:noProof/>
              <w:sz w:val="22"/>
              <w:szCs w:val="22"/>
            </w:rPr>
          </w:pPr>
          <w:hyperlink w:anchor="_Toc13059461" w:history="1">
            <w:r w:rsidR="00074695" w:rsidRPr="002E388A">
              <w:rPr>
                <w:rStyle w:val="Hyperlink"/>
                <w:noProof/>
              </w:rPr>
              <w:t>APPENDIX A: Manuscript Template</w:t>
            </w:r>
            <w:r w:rsidR="00074695">
              <w:rPr>
                <w:noProof/>
                <w:webHidden/>
              </w:rPr>
              <w:tab/>
            </w:r>
            <w:r w:rsidR="00074695">
              <w:rPr>
                <w:noProof/>
                <w:webHidden/>
              </w:rPr>
              <w:fldChar w:fldCharType="begin"/>
            </w:r>
            <w:r w:rsidR="00074695">
              <w:rPr>
                <w:noProof/>
                <w:webHidden/>
              </w:rPr>
              <w:instrText xml:space="preserve"> PAGEREF _Toc13059461 \h </w:instrText>
            </w:r>
            <w:r w:rsidR="00074695">
              <w:rPr>
                <w:noProof/>
                <w:webHidden/>
              </w:rPr>
            </w:r>
            <w:r w:rsidR="00074695">
              <w:rPr>
                <w:noProof/>
                <w:webHidden/>
              </w:rPr>
              <w:fldChar w:fldCharType="separate"/>
            </w:r>
            <w:r w:rsidR="00074695">
              <w:rPr>
                <w:noProof/>
                <w:webHidden/>
              </w:rPr>
              <w:t>16</w:t>
            </w:r>
            <w:r w:rsidR="00074695">
              <w:rPr>
                <w:noProof/>
                <w:webHidden/>
              </w:rPr>
              <w:fldChar w:fldCharType="end"/>
            </w:r>
          </w:hyperlink>
        </w:p>
        <w:p w14:paraId="3C6ECB93" w14:textId="3DDCABF6" w:rsidR="00074695" w:rsidRDefault="00D37C12">
          <w:pPr>
            <w:pStyle w:val="TOC1"/>
            <w:tabs>
              <w:tab w:val="right" w:leader="dot" w:pos="8630"/>
            </w:tabs>
            <w:rPr>
              <w:rFonts w:asciiTheme="minorHAnsi" w:hAnsiTheme="minorHAnsi"/>
              <w:noProof/>
              <w:sz w:val="22"/>
              <w:szCs w:val="22"/>
            </w:rPr>
          </w:pPr>
          <w:hyperlink w:anchor="_Toc13059462" w:history="1">
            <w:r w:rsidR="00074695" w:rsidRPr="002E388A">
              <w:rPr>
                <w:rStyle w:val="Hyperlink"/>
                <w:noProof/>
              </w:rPr>
              <w:t>APPENDIX B: Supplemental Material Template</w:t>
            </w:r>
            <w:r w:rsidR="00074695">
              <w:rPr>
                <w:noProof/>
                <w:webHidden/>
              </w:rPr>
              <w:tab/>
            </w:r>
            <w:r w:rsidR="00074695">
              <w:rPr>
                <w:noProof/>
                <w:webHidden/>
              </w:rPr>
              <w:fldChar w:fldCharType="begin"/>
            </w:r>
            <w:r w:rsidR="00074695">
              <w:rPr>
                <w:noProof/>
                <w:webHidden/>
              </w:rPr>
              <w:instrText xml:space="preserve"> PAGEREF _Toc13059462 \h </w:instrText>
            </w:r>
            <w:r w:rsidR="00074695">
              <w:rPr>
                <w:noProof/>
                <w:webHidden/>
              </w:rPr>
            </w:r>
            <w:r w:rsidR="00074695">
              <w:rPr>
                <w:noProof/>
                <w:webHidden/>
              </w:rPr>
              <w:fldChar w:fldCharType="separate"/>
            </w:r>
            <w:r w:rsidR="00074695">
              <w:rPr>
                <w:noProof/>
                <w:webHidden/>
              </w:rPr>
              <w:t>29</w:t>
            </w:r>
            <w:r w:rsidR="00074695">
              <w:rPr>
                <w:noProof/>
                <w:webHidden/>
              </w:rPr>
              <w:fldChar w:fldCharType="end"/>
            </w:r>
          </w:hyperlink>
        </w:p>
        <w:p w14:paraId="0184A198" w14:textId="1BE3543B" w:rsidR="00074695" w:rsidRDefault="00D37C12">
          <w:pPr>
            <w:pStyle w:val="TOC1"/>
            <w:tabs>
              <w:tab w:val="right" w:leader="dot" w:pos="8630"/>
            </w:tabs>
            <w:rPr>
              <w:rFonts w:asciiTheme="minorHAnsi" w:hAnsiTheme="minorHAnsi"/>
              <w:noProof/>
              <w:sz w:val="22"/>
              <w:szCs w:val="22"/>
            </w:rPr>
          </w:pPr>
          <w:hyperlink w:anchor="_Toc13059463" w:history="1">
            <w:r w:rsidR="00074695" w:rsidRPr="002E388A">
              <w:rPr>
                <w:rStyle w:val="Hyperlink"/>
                <w:noProof/>
              </w:rPr>
              <w:t>APPENDIX C: CPIC Director Checklist</w:t>
            </w:r>
            <w:r w:rsidR="00074695">
              <w:rPr>
                <w:noProof/>
                <w:webHidden/>
              </w:rPr>
              <w:tab/>
            </w:r>
            <w:r w:rsidR="00074695">
              <w:rPr>
                <w:noProof/>
                <w:webHidden/>
              </w:rPr>
              <w:fldChar w:fldCharType="begin"/>
            </w:r>
            <w:r w:rsidR="00074695">
              <w:rPr>
                <w:noProof/>
                <w:webHidden/>
              </w:rPr>
              <w:instrText xml:space="preserve"> PAGEREF _Toc13059463 \h </w:instrText>
            </w:r>
            <w:r w:rsidR="00074695">
              <w:rPr>
                <w:noProof/>
                <w:webHidden/>
              </w:rPr>
            </w:r>
            <w:r w:rsidR="00074695">
              <w:rPr>
                <w:noProof/>
                <w:webHidden/>
              </w:rPr>
              <w:fldChar w:fldCharType="separate"/>
            </w:r>
            <w:r w:rsidR="00074695">
              <w:rPr>
                <w:noProof/>
                <w:webHidden/>
              </w:rPr>
              <w:t>35</w:t>
            </w:r>
            <w:r w:rsidR="00074695">
              <w:rPr>
                <w:noProof/>
                <w:webHidden/>
              </w:rPr>
              <w:fldChar w:fldCharType="end"/>
            </w:r>
          </w:hyperlink>
        </w:p>
        <w:p w14:paraId="5837F9DE" w14:textId="33388C9E" w:rsidR="00074695" w:rsidRDefault="00D37C12">
          <w:pPr>
            <w:pStyle w:val="TOC1"/>
            <w:tabs>
              <w:tab w:val="right" w:leader="dot" w:pos="8630"/>
            </w:tabs>
            <w:rPr>
              <w:rFonts w:asciiTheme="minorHAnsi" w:hAnsiTheme="minorHAnsi"/>
              <w:noProof/>
              <w:sz w:val="22"/>
              <w:szCs w:val="22"/>
            </w:rPr>
          </w:pPr>
          <w:hyperlink w:anchor="_Toc13059464" w:history="1">
            <w:r w:rsidR="00074695" w:rsidRPr="002E388A">
              <w:rPr>
                <w:rStyle w:val="Hyperlink"/>
                <w:noProof/>
              </w:rPr>
              <w:t>APPENDIX D. List of terms describing allele function and phenotype that should be used in all CPIC guidelines.</w:t>
            </w:r>
            <w:r w:rsidR="00074695">
              <w:rPr>
                <w:noProof/>
                <w:webHidden/>
              </w:rPr>
              <w:tab/>
            </w:r>
            <w:r w:rsidR="00074695">
              <w:rPr>
                <w:noProof/>
                <w:webHidden/>
              </w:rPr>
              <w:fldChar w:fldCharType="begin"/>
            </w:r>
            <w:r w:rsidR="00074695">
              <w:rPr>
                <w:noProof/>
                <w:webHidden/>
              </w:rPr>
              <w:instrText xml:space="preserve"> PAGEREF _Toc13059464 \h </w:instrText>
            </w:r>
            <w:r w:rsidR="00074695">
              <w:rPr>
                <w:noProof/>
                <w:webHidden/>
              </w:rPr>
            </w:r>
            <w:r w:rsidR="00074695">
              <w:rPr>
                <w:noProof/>
                <w:webHidden/>
              </w:rPr>
              <w:fldChar w:fldCharType="separate"/>
            </w:r>
            <w:r w:rsidR="00074695">
              <w:rPr>
                <w:noProof/>
                <w:webHidden/>
              </w:rPr>
              <w:t>37</w:t>
            </w:r>
            <w:r w:rsidR="00074695">
              <w:rPr>
                <w:noProof/>
                <w:webHidden/>
              </w:rPr>
              <w:fldChar w:fldCharType="end"/>
            </w:r>
          </w:hyperlink>
        </w:p>
        <w:p w14:paraId="07006D27" w14:textId="4AE67A06" w:rsidR="00A121F9" w:rsidRPr="007F5874" w:rsidRDefault="0069195E">
          <w:r w:rsidRPr="007F5874">
            <w:rPr>
              <w:b/>
              <w:bCs/>
              <w:noProof/>
            </w:rPr>
            <w:fldChar w:fldCharType="end"/>
          </w:r>
        </w:p>
      </w:sdtContent>
    </w:sdt>
    <w:p w14:paraId="366827DE" w14:textId="77777777" w:rsidR="00A121F9" w:rsidRPr="007F5874" w:rsidRDefault="00A121F9" w:rsidP="0026499F">
      <w:pPr>
        <w:pStyle w:val="Heading1"/>
        <w:sectPr w:rsidR="00A121F9" w:rsidRPr="007F5874" w:rsidSect="00135977">
          <w:footerReference w:type="default" r:id="rId7"/>
          <w:pgSz w:w="12240" w:h="15840"/>
          <w:pgMar w:top="1440" w:right="1800" w:bottom="1440" w:left="1800" w:header="720" w:footer="720" w:gutter="0"/>
          <w:cols w:space="720"/>
          <w:docGrid w:linePitch="360"/>
        </w:sectPr>
      </w:pPr>
    </w:p>
    <w:p w14:paraId="54CE3A0D" w14:textId="77777777" w:rsidR="002C07FF" w:rsidRPr="007F5874" w:rsidRDefault="002C07FF" w:rsidP="0026499F">
      <w:pPr>
        <w:pStyle w:val="Heading1"/>
      </w:pPr>
      <w:bookmarkStart w:id="0" w:name="_Toc13059441"/>
      <w:r w:rsidRPr="007F5874">
        <w:lastRenderedPageBreak/>
        <w:t>Key Points</w:t>
      </w:r>
      <w:r w:rsidR="007D307D" w:rsidRPr="007F5874">
        <w:t xml:space="preserve"> about CPIC guideline</w:t>
      </w:r>
      <w:r w:rsidR="009E2C87" w:rsidRPr="007F5874">
        <w:t>s</w:t>
      </w:r>
      <w:r w:rsidR="007D307D" w:rsidRPr="007F5874">
        <w:t>:</w:t>
      </w:r>
      <w:bookmarkEnd w:id="0"/>
    </w:p>
    <w:p w14:paraId="0695ECBA" w14:textId="77777777" w:rsidR="002C07FF" w:rsidRPr="007F5874" w:rsidRDefault="002C07FF">
      <w:pPr>
        <w:rPr>
          <w:rFonts w:cs="Times New Roman"/>
        </w:rPr>
      </w:pPr>
    </w:p>
    <w:p w14:paraId="40A7538B"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w:t>
      </w:r>
      <w:proofErr w:type="gramStart"/>
      <w:r w:rsidRPr="007F5874">
        <w:rPr>
          <w:rFonts w:cs="Times New Roman"/>
        </w:rPr>
        <w:t xml:space="preserve">are </w:t>
      </w:r>
      <w:r w:rsidR="002C07FF" w:rsidRPr="007F5874">
        <w:rPr>
          <w:rFonts w:cs="Times New Roman"/>
        </w:rPr>
        <w:t>based on the assumption</w:t>
      </w:r>
      <w:proofErr w:type="gramEnd"/>
      <w:r w:rsidR="002C07FF" w:rsidRPr="007F5874">
        <w:rPr>
          <w:rFonts w:cs="Times New Roman"/>
        </w:rPr>
        <w:t xml:space="preserve"> that the test results are in hand</w:t>
      </w:r>
      <w:r w:rsidRPr="007F5874">
        <w:rPr>
          <w:rFonts w:cs="Times New Roman"/>
        </w:rPr>
        <w:t xml:space="preserve">; they are </w:t>
      </w:r>
      <w:r w:rsidR="002C07FF" w:rsidRPr="007F5874">
        <w:rPr>
          <w:rFonts w:cs="Times New Roman"/>
        </w:rPr>
        <w:t>not to discuss the merits of doing the test</w:t>
      </w:r>
    </w:p>
    <w:p w14:paraId="6E3CC945" w14:textId="77777777" w:rsidR="000961D0" w:rsidRPr="007F5874" w:rsidRDefault="000961D0" w:rsidP="000961D0">
      <w:pPr>
        <w:pStyle w:val="ListParagraph"/>
        <w:rPr>
          <w:rFonts w:cs="Times New Roman"/>
        </w:rPr>
      </w:pPr>
    </w:p>
    <w:p w14:paraId="2D024ABD"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4BF9F313" w14:textId="77777777" w:rsidR="009E2C87" w:rsidRPr="00834064" w:rsidRDefault="009E2C87" w:rsidP="001846A8">
      <w:pPr>
        <w:rPr>
          <w:rFonts w:cs="Times New Roman"/>
        </w:rPr>
      </w:pPr>
    </w:p>
    <w:p w14:paraId="4EEF0581" w14:textId="77777777"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42B30B64" w14:textId="77777777" w:rsidR="000D75A5" w:rsidRPr="007F5874" w:rsidRDefault="000D75A5" w:rsidP="000D75A5">
      <w:pPr>
        <w:rPr>
          <w:rFonts w:cs="Times New Roman"/>
        </w:rPr>
      </w:pPr>
    </w:p>
    <w:p w14:paraId="69C8D9E3"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95BBC25" w14:textId="77777777" w:rsidR="000971CA" w:rsidRPr="007F5874" w:rsidRDefault="000971CA" w:rsidP="005B5E21">
      <w:pPr>
        <w:pStyle w:val="ListParagraph"/>
        <w:rPr>
          <w:rFonts w:cs="Times New Roman"/>
        </w:rPr>
      </w:pPr>
    </w:p>
    <w:p w14:paraId="2F4DB9C0"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DBBA37" w14:textId="77777777" w:rsidR="000971CA" w:rsidRPr="007F5874" w:rsidRDefault="000971CA" w:rsidP="005B5E21">
      <w:pPr>
        <w:pStyle w:val="ListParagraph"/>
        <w:rPr>
          <w:rFonts w:cs="Times New Roman"/>
        </w:rPr>
      </w:pPr>
    </w:p>
    <w:p w14:paraId="2F83A40D"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683958EB" w14:textId="77777777" w:rsidR="00D3352B" w:rsidRPr="007F5874" w:rsidRDefault="00D3352B" w:rsidP="00EF0B73">
      <w:pPr>
        <w:pStyle w:val="ListParagraph"/>
        <w:rPr>
          <w:rFonts w:cs="Times New Roman"/>
        </w:rPr>
      </w:pPr>
    </w:p>
    <w:p w14:paraId="7B15132C" w14:textId="61ED8463"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r:id="rId8" w:history="1">
        <w:r w:rsidR="006B7FED" w:rsidRPr="00D37C12">
          <w:rPr>
            <w:rStyle w:val="Hyperlink"/>
          </w:rPr>
          <w:t>Authorship on CPIC guidelines</w:t>
        </w:r>
      </w:hyperlink>
      <w:r w:rsidR="00EF0B73" w:rsidRPr="00E330EC">
        <w:rPr>
          <w:rFonts w:cs="Times New Roman"/>
        </w:rPr>
        <w:t>)</w:t>
      </w:r>
    </w:p>
    <w:p w14:paraId="728D7D16" w14:textId="77777777" w:rsidR="00F73D93" w:rsidRPr="007F5874" w:rsidRDefault="00F73D93" w:rsidP="00F73D93">
      <w:pPr>
        <w:pStyle w:val="ListParagraph"/>
        <w:rPr>
          <w:rFonts w:cs="Times New Roman"/>
        </w:rPr>
      </w:pPr>
    </w:p>
    <w:p w14:paraId="3904A9CE"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 xml:space="preserve">ipt is limited to 3000 words and 40 </w:t>
      </w:r>
      <w:proofErr w:type="gramStart"/>
      <w:r w:rsidR="007D307D" w:rsidRPr="007F5874">
        <w:rPr>
          <w:rFonts w:cs="Times New Roman"/>
        </w:rPr>
        <w:t>reference</w:t>
      </w:r>
      <w:r w:rsidR="00903F4E" w:rsidRPr="007F5874">
        <w:rPr>
          <w:rFonts w:cs="Times New Roman"/>
        </w:rPr>
        <w:t>s</w:t>
      </w:r>
      <w:proofErr w:type="gramEnd"/>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2F32493" w14:textId="77777777" w:rsidR="007D307D" w:rsidRPr="007F5874" w:rsidRDefault="007D307D" w:rsidP="007D307D">
      <w:pPr>
        <w:rPr>
          <w:rFonts w:cs="Times New Roman"/>
        </w:rPr>
      </w:pPr>
    </w:p>
    <w:p w14:paraId="44CEBB9F" w14:textId="77777777"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9"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4A00A0A6" w14:textId="77777777" w:rsidR="00F73D93" w:rsidRPr="007F5874" w:rsidRDefault="00F73D93" w:rsidP="007D307D">
      <w:pPr>
        <w:rPr>
          <w:rFonts w:cs="Times New Roman"/>
        </w:rPr>
      </w:pPr>
    </w:p>
    <w:p w14:paraId="151FE1A4" w14:textId="37E047C9" w:rsidR="007D4295" w:rsidRPr="007F5874" w:rsidRDefault="00F73D93" w:rsidP="00F73D93">
      <w:pPr>
        <w:pStyle w:val="ListParagraph"/>
        <w:numPr>
          <w:ilvl w:val="0"/>
          <w:numId w:val="1"/>
        </w:numPr>
        <w:rPr>
          <w:rFonts w:cs="Times New Roman"/>
        </w:rPr>
      </w:pPr>
      <w:r w:rsidRPr="007F5874">
        <w:rPr>
          <w:rFonts w:cs="Times New Roman"/>
        </w:rPr>
        <w:t xml:space="preserve">Always at least one co-author from </w:t>
      </w:r>
      <w:r w:rsidR="00E11AD2">
        <w:rPr>
          <w:rFonts w:cs="Times New Roman"/>
        </w:rPr>
        <w:t>Stanford PGx Group.</w:t>
      </w:r>
    </w:p>
    <w:p w14:paraId="0320022F" w14:textId="77777777" w:rsidR="007D4295" w:rsidRPr="007F5874" w:rsidRDefault="007D4295" w:rsidP="007D4295">
      <w:pPr>
        <w:pStyle w:val="ListParagraph"/>
        <w:rPr>
          <w:rFonts w:cs="Times New Roman"/>
          <w:b/>
        </w:rPr>
      </w:pPr>
    </w:p>
    <w:p w14:paraId="7E0081FD" w14:textId="68779F03"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r:id="rId10" w:history="1">
        <w:r w:rsidR="006B7FED" w:rsidRPr="00D37C12">
          <w:rPr>
            <w:rStyle w:val="Hyperlink"/>
          </w:rPr>
          <w:t>Authors</w:t>
        </w:r>
        <w:r w:rsidR="006B7FED" w:rsidRPr="00D37C12">
          <w:rPr>
            <w:rStyle w:val="Hyperlink"/>
          </w:rPr>
          <w:t>h</w:t>
        </w:r>
        <w:r w:rsidR="006B7FED" w:rsidRPr="00D37C12">
          <w:rPr>
            <w:rStyle w:val="Hyperlink"/>
          </w:rPr>
          <w:t>ip on CPIC guidelines</w:t>
        </w:r>
      </w:hyperlink>
      <w:r w:rsidR="00F333EB" w:rsidRPr="007F5874">
        <w:rPr>
          <w:rFonts w:cs="Times New Roman"/>
        </w:rPr>
        <w:t>).</w:t>
      </w:r>
    </w:p>
    <w:p w14:paraId="7487BA99" w14:textId="77777777" w:rsidR="00DE4F77" w:rsidRPr="007F5874" w:rsidRDefault="00DE4F77" w:rsidP="00DE4F77">
      <w:pPr>
        <w:pStyle w:val="ListParagraph"/>
        <w:rPr>
          <w:rFonts w:cs="Times New Roman"/>
        </w:rPr>
      </w:pPr>
    </w:p>
    <w:p w14:paraId="160E81E3" w14:textId="77777777" w:rsidR="003F5539" w:rsidRPr="007F5874" w:rsidRDefault="003F5539" w:rsidP="002C07FF">
      <w:pPr>
        <w:pStyle w:val="ListParagraph"/>
        <w:rPr>
          <w:rFonts w:cs="Times New Roman"/>
        </w:rPr>
      </w:pPr>
    </w:p>
    <w:p w14:paraId="45999025" w14:textId="77777777" w:rsidR="003F5539" w:rsidRPr="007F5874" w:rsidRDefault="003F5539">
      <w:pPr>
        <w:rPr>
          <w:rFonts w:cs="Times New Roman"/>
        </w:rPr>
      </w:pPr>
      <w:r w:rsidRPr="007F5874">
        <w:rPr>
          <w:rFonts w:cs="Times New Roman"/>
        </w:rPr>
        <w:br w:type="page"/>
      </w:r>
    </w:p>
    <w:p w14:paraId="2F3BBB80" w14:textId="77777777" w:rsidR="003F5539" w:rsidRPr="007F5874" w:rsidRDefault="00202FCD" w:rsidP="0026499F">
      <w:pPr>
        <w:pStyle w:val="Heading1"/>
      </w:pPr>
      <w:bookmarkStart w:id="1" w:name="_Toc13059442"/>
      <w:r w:rsidRPr="007F5874">
        <w:lastRenderedPageBreak/>
        <w:t>CPIC Guideline Development Process</w:t>
      </w:r>
      <w:bookmarkEnd w:id="1"/>
    </w:p>
    <w:p w14:paraId="2194F219" w14:textId="77777777" w:rsidR="007704E5" w:rsidRPr="007F5874" w:rsidRDefault="007704E5" w:rsidP="002C07FF">
      <w:pPr>
        <w:pStyle w:val="ListParagraph"/>
        <w:rPr>
          <w:rFonts w:cs="Times New Roman"/>
        </w:rPr>
      </w:pPr>
    </w:p>
    <w:p w14:paraId="6A185F54" w14:textId="77777777" w:rsidR="00C819BF" w:rsidRPr="007F5874" w:rsidRDefault="00C819BF" w:rsidP="00AE6E5C">
      <w:pPr>
        <w:pStyle w:val="Heading2"/>
        <w:ind w:left="0" w:firstLine="0"/>
      </w:pPr>
      <w:bookmarkStart w:id="2" w:name="_Toc13059443"/>
      <w:r w:rsidRPr="007F5874">
        <w:t>Initial assessment of known gene-drug relationship</w:t>
      </w:r>
      <w:bookmarkEnd w:id="2"/>
    </w:p>
    <w:p w14:paraId="440E06D6" w14:textId="77777777" w:rsidR="00C819BF" w:rsidRPr="007F5874" w:rsidRDefault="00C819BF" w:rsidP="007704E5">
      <w:pPr>
        <w:rPr>
          <w:rFonts w:cs="Times New Roman"/>
        </w:rPr>
      </w:pPr>
    </w:p>
    <w:p w14:paraId="69291A1B" w14:textId="77777777"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11" w:anchor="flowchart" w:history="1">
        <w:r w:rsidR="00C2131E" w:rsidRPr="00FA5C2C">
          <w:rPr>
            <w:rStyle w:val="Hyperlink"/>
            <w:rFonts w:cs="Times New Roman"/>
          </w:rPr>
          <w:t>https://cpicpgx.org/prioritization/#flowchart</w:t>
        </w:r>
      </w:hyperlink>
      <w:r w:rsidR="00C2131E">
        <w:rPr>
          <w:rFonts w:cs="Times New Roman"/>
        </w:rPr>
        <w:t xml:space="preserve">) </w:t>
      </w:r>
    </w:p>
    <w:p w14:paraId="68DB59E5"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42148919" w14:textId="77777777"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28DC54EE" w14:textId="77777777"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27B307ED" w14:textId="77777777"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w:t>
      </w:r>
      <w:r w:rsidR="006A22A0">
        <w:rPr>
          <w:rFonts w:cs="Times New Roman"/>
        </w:rPr>
        <w:t xml:space="preserve">the </w:t>
      </w:r>
      <w:r w:rsidRPr="008E4B3D">
        <w:rPr>
          <w:rFonts w:cs="Times New Roman"/>
        </w:rPr>
        <w:t xml:space="preserve">PharmGKB clinical annotations process </w:t>
      </w:r>
    </w:p>
    <w:p w14:paraId="1A43E44B" w14:textId="77777777" w:rsidR="008E4B3D" w:rsidRDefault="008E4B3D" w:rsidP="008E4B3D">
      <w:pPr>
        <w:pStyle w:val="ListParagraph"/>
        <w:ind w:left="840"/>
        <w:rPr>
          <w:rFonts w:cs="Times New Roman"/>
        </w:rPr>
      </w:pPr>
    </w:p>
    <w:p w14:paraId="3999D8E1" w14:textId="322EB8FF"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w:t>
      </w:r>
      <w:r w:rsidR="00C471B5">
        <w:rPr>
          <w:rFonts w:cs="Times New Roman"/>
        </w:rPr>
        <w:t>director</w:t>
      </w:r>
      <w:r w:rsidR="00C409B7">
        <w:rPr>
          <w:rFonts w:cs="Times New Roman"/>
        </w:rPr>
        <w:t>, with input from CP</w:t>
      </w:r>
      <w:r w:rsidR="007B0A3E">
        <w:rPr>
          <w:rFonts w:cs="Times New Roman"/>
        </w:rPr>
        <w:t xml:space="preserve">IC members, CPIC leadership, </w:t>
      </w:r>
      <w:r w:rsidR="00A859CB">
        <w:rPr>
          <w:rFonts w:cs="Times New Roman"/>
        </w:rPr>
        <w:t>Stanford PGx Group</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E21FC17" w14:textId="77777777" w:rsidR="000971CA" w:rsidRPr="007F5874" w:rsidRDefault="000971CA" w:rsidP="007704E5">
      <w:pPr>
        <w:rPr>
          <w:rFonts w:cs="Times New Roman"/>
        </w:rPr>
      </w:pPr>
    </w:p>
    <w:p w14:paraId="58D0DBB7" w14:textId="77777777"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5F89E1C2" w14:textId="77777777" w:rsidR="0060735A" w:rsidRPr="007F5874" w:rsidRDefault="0060735A" w:rsidP="0060735A">
      <w:pPr>
        <w:rPr>
          <w:rFonts w:cs="Times New Roman"/>
        </w:rPr>
      </w:pPr>
    </w:p>
    <w:p w14:paraId="47A6A6FE" w14:textId="77777777" w:rsidR="00D426BF" w:rsidRPr="007F5874" w:rsidRDefault="00D426BF" w:rsidP="00DB1924">
      <w:pPr>
        <w:pStyle w:val="Heading2"/>
        <w:ind w:left="0" w:firstLine="0"/>
        <w:rPr>
          <w:rStyle w:val="Heading2Char"/>
          <w:b/>
          <w:bCs/>
        </w:rPr>
      </w:pPr>
      <w:r w:rsidRPr="007F5874">
        <w:t xml:space="preserve"> </w:t>
      </w:r>
      <w:bookmarkStart w:id="3" w:name="_Toc13059444"/>
      <w:r w:rsidRPr="007F5874">
        <w:rPr>
          <w:rStyle w:val="Heading2Char"/>
          <w:b/>
          <w:bCs/>
        </w:rPr>
        <w:t>Identification of content experts and formation of writing committee</w:t>
      </w:r>
      <w:bookmarkEnd w:id="3"/>
    </w:p>
    <w:p w14:paraId="5F613E1B" w14:textId="77777777" w:rsidR="00AE6E5C" w:rsidRPr="007F5874" w:rsidRDefault="00AE6E5C" w:rsidP="00AE6E5C"/>
    <w:p w14:paraId="309877DD" w14:textId="6BF6928E"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r:id="rId12" w:history="1">
        <w:r w:rsidR="00D426BF" w:rsidRPr="00D37C12">
          <w:rPr>
            <w:rStyle w:val="Hyperlink"/>
          </w:rPr>
          <w:t>Authorship</w:t>
        </w:r>
        <w:r w:rsidR="00D426BF" w:rsidRPr="00D37C12">
          <w:rPr>
            <w:rStyle w:val="Hyperlink"/>
          </w:rPr>
          <w:t xml:space="preserve"> </w:t>
        </w:r>
        <w:r w:rsidR="00D426BF" w:rsidRPr="00D37C12">
          <w:rPr>
            <w:rStyle w:val="Hyperlink"/>
          </w:rPr>
          <w:t>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643B1BE5" w14:textId="77777777" w:rsidR="00E81216" w:rsidRPr="007F5874" w:rsidRDefault="00E81216" w:rsidP="00D426BF"/>
    <w:p w14:paraId="4AAA0C63" w14:textId="77777777" w:rsidR="00E81216" w:rsidRPr="007F5874" w:rsidRDefault="00E81216" w:rsidP="0031656D">
      <w:pPr>
        <w:pStyle w:val="Heading2"/>
        <w:ind w:left="0" w:firstLine="0"/>
      </w:pPr>
      <w:bookmarkStart w:id="4" w:name="_Toc13059445"/>
      <w:r w:rsidRPr="007F5874">
        <w:t>Management of Conflicts of Interest</w:t>
      </w:r>
      <w:bookmarkEnd w:id="4"/>
    </w:p>
    <w:p w14:paraId="78AA16E4" w14:textId="77777777" w:rsidR="00E81216" w:rsidRPr="007F5874" w:rsidRDefault="00E81216" w:rsidP="00E81216"/>
    <w:p w14:paraId="303D1C5E" w14:textId="24306263"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r:id="rId13" w:history="1">
        <w:r w:rsidR="00D37C12" w:rsidRPr="00D37C12">
          <w:rPr>
            <w:rStyle w:val="Hyperlink"/>
          </w:rPr>
          <w:t>Authorship on CPIC guidelines</w:t>
        </w:r>
      </w:hyperlink>
      <w:r w:rsidR="001D2217" w:rsidRPr="007F5874">
        <w:t>” document outlines the process for managing conflicts of interest.</w:t>
      </w:r>
    </w:p>
    <w:p w14:paraId="33761F96" w14:textId="77777777" w:rsidR="001D2217" w:rsidRPr="007F5874" w:rsidRDefault="001D2217" w:rsidP="00E81216"/>
    <w:p w14:paraId="55A68460" w14:textId="77777777" w:rsidR="00835745" w:rsidRPr="007F5874" w:rsidRDefault="00F437DD" w:rsidP="00AE6E5C">
      <w:pPr>
        <w:pStyle w:val="Heading2"/>
        <w:ind w:left="0" w:firstLine="0"/>
      </w:pPr>
      <w:bookmarkStart w:id="5" w:name="_Toc13059446"/>
      <w:r w:rsidRPr="007F5874">
        <w:lastRenderedPageBreak/>
        <w:t>Review</w:t>
      </w:r>
      <w:r w:rsidR="00835745" w:rsidRPr="007F5874">
        <w:t xml:space="preserve"> guidelines from professional societies</w:t>
      </w:r>
      <w:bookmarkEnd w:id="5"/>
    </w:p>
    <w:p w14:paraId="70312A44" w14:textId="77777777" w:rsidR="00835745" w:rsidRPr="007F5874" w:rsidRDefault="00835745" w:rsidP="00835745">
      <w:pPr>
        <w:rPr>
          <w:rFonts w:cs="Times New Roman"/>
        </w:rPr>
      </w:pPr>
    </w:p>
    <w:p w14:paraId="292F7947" w14:textId="77777777"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4" w:history="1">
        <w:r w:rsidRPr="007F5874">
          <w:rPr>
            <w:rStyle w:val="Hyperlink"/>
            <w:rFonts w:eastAsia="Times New Roman" w:cs="Times New Roman"/>
          </w:rPr>
          <w:t>18253145</w:t>
        </w:r>
      </w:hyperlink>
      <w:r w:rsidRPr="007F5874">
        <w:rPr>
          <w:rFonts w:eastAsia="Times New Roman" w:cs="Times New Roman"/>
        </w:rPr>
        <w:t>]</w:t>
      </w:r>
    </w:p>
    <w:p w14:paraId="1D4C54F6"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5" w:history="1">
        <w:r w:rsidRPr="007F5874">
          <w:rPr>
            <w:rStyle w:val="Hyperlink"/>
            <w:rFonts w:cs="Times New Roman"/>
          </w:rPr>
          <w:t>http://guidelines.gov/</w:t>
        </w:r>
      </w:hyperlink>
    </w:p>
    <w:p w14:paraId="146435BD" w14:textId="77777777" w:rsidR="001846A8" w:rsidRDefault="00412BC5" w:rsidP="00835745">
      <w:pPr>
        <w:numPr>
          <w:ilvl w:val="0"/>
          <w:numId w:val="6"/>
        </w:numPr>
        <w:rPr>
          <w:rFonts w:cs="Times New Roman"/>
        </w:rPr>
      </w:pPr>
      <w:r>
        <w:rPr>
          <w:rFonts w:cs="Times New Roman"/>
        </w:rPr>
        <w:t xml:space="preserve"> National Institutes of Health</w:t>
      </w:r>
    </w:p>
    <w:p w14:paraId="636E5B5D"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6"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1BB3F879" w14:textId="77777777"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624FECD5" w14:textId="77777777" w:rsidR="00835745" w:rsidRPr="007F5874" w:rsidRDefault="00835745" w:rsidP="00D426BF"/>
    <w:p w14:paraId="2F3D8E08" w14:textId="77777777" w:rsidR="00650E1B" w:rsidRPr="007F5874" w:rsidRDefault="00650E1B" w:rsidP="00D426BF"/>
    <w:p w14:paraId="677E9CE6" w14:textId="77777777" w:rsidR="00650E1B" w:rsidRPr="007F5874" w:rsidRDefault="00650E1B" w:rsidP="00AE6E5C">
      <w:pPr>
        <w:pStyle w:val="Heading2"/>
        <w:ind w:left="0" w:firstLine="0"/>
      </w:pPr>
      <w:bookmarkStart w:id="6" w:name="_Toc13059447"/>
      <w:r w:rsidRPr="007F5874">
        <w:t>Conference call with co-authors and participants</w:t>
      </w:r>
      <w:bookmarkEnd w:id="6"/>
    </w:p>
    <w:p w14:paraId="7F561524" w14:textId="77777777" w:rsidR="00650E1B" w:rsidRPr="007F5874" w:rsidRDefault="00650E1B" w:rsidP="00650E1B">
      <w:pPr>
        <w:rPr>
          <w:rFonts w:cs="Times New Roman"/>
        </w:rPr>
      </w:pPr>
    </w:p>
    <w:p w14:paraId="2476145E" w14:textId="77777777" w:rsidR="00650E1B" w:rsidRPr="007F5874" w:rsidRDefault="00650E1B" w:rsidP="00650E1B">
      <w:pPr>
        <w:rPr>
          <w:rFonts w:cs="Times New Roman"/>
        </w:rPr>
      </w:pPr>
      <w:r w:rsidRPr="007F5874">
        <w:rPr>
          <w:rFonts w:cs="Times New Roman"/>
        </w:rPr>
        <w:t xml:space="preserve">The CPIC </w:t>
      </w:r>
      <w:r w:rsidR="00C471B5">
        <w:rPr>
          <w:rFonts w:cs="Times New Roman"/>
        </w:rPr>
        <w:t>director</w:t>
      </w:r>
      <w:r w:rsidRPr="007F5874">
        <w:rPr>
          <w:rFonts w:cs="Times New Roman"/>
        </w:rPr>
        <w:t xml:space="preserve">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60F83197" w14:textId="77777777" w:rsidR="00650E1B" w:rsidRPr="007F5874" w:rsidRDefault="00650E1B" w:rsidP="00650E1B">
      <w:pPr>
        <w:rPr>
          <w:rFonts w:cs="Times New Roman"/>
        </w:rPr>
      </w:pPr>
      <w:r w:rsidRPr="007F5874">
        <w:rPr>
          <w:rFonts w:cs="Times New Roman"/>
        </w:rPr>
        <w:t>Items to discuss in first conference call:</w:t>
      </w:r>
    </w:p>
    <w:p w14:paraId="2C9346B9"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6FA0E10D" w14:textId="77777777" w:rsidR="00650E1B"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3879DF80" w14:textId="461EE41D" w:rsidR="002B26CD" w:rsidRPr="007F5874" w:rsidRDefault="002B26CD" w:rsidP="00650E1B">
      <w:pPr>
        <w:pStyle w:val="ListParagraph"/>
        <w:numPr>
          <w:ilvl w:val="0"/>
          <w:numId w:val="20"/>
        </w:numPr>
        <w:rPr>
          <w:rFonts w:cs="Times New Roman"/>
        </w:rPr>
      </w:pPr>
      <w:r>
        <w:rPr>
          <w:rFonts w:cs="Times New Roman"/>
        </w:rPr>
        <w:t>Define inclusion criteria and keywords for the evidence review.</w:t>
      </w:r>
    </w:p>
    <w:p w14:paraId="09E69F72" w14:textId="77777777"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6F7F854B" w14:textId="45B442FA" w:rsidR="006871BF" w:rsidRPr="007F5874" w:rsidRDefault="002B26CD" w:rsidP="006871BF">
      <w:pPr>
        <w:pStyle w:val="ListParagraph"/>
        <w:numPr>
          <w:ilvl w:val="0"/>
          <w:numId w:val="20"/>
        </w:numPr>
        <w:rPr>
          <w:rFonts w:cs="Times New Roman"/>
        </w:rPr>
      </w:pPr>
      <w:r>
        <w:rPr>
          <w:rFonts w:cs="Times New Roman"/>
        </w:rPr>
        <w:t>Finalize</w:t>
      </w:r>
      <w:r w:rsidRPr="007F5874">
        <w:rPr>
          <w:rFonts w:cs="Times New Roman"/>
        </w:rPr>
        <w:t xml:space="preserve"> </w:t>
      </w:r>
      <w:r w:rsidR="006871BF" w:rsidRPr="007F5874">
        <w:rPr>
          <w:rFonts w:cs="Times New Roman"/>
        </w:rPr>
        <w:t xml:space="preserve">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w:t>
      </w:r>
      <w:r w:rsidR="00E1020A">
        <w:rPr>
          <w:rFonts w:cs="Times New Roman"/>
        </w:rPr>
        <w:t xml:space="preserve">PIs </w:t>
      </w:r>
      <w:r w:rsidR="00535014" w:rsidRPr="007F5874">
        <w:rPr>
          <w:rFonts w:cs="Times New Roman"/>
        </w:rPr>
        <w:t xml:space="preserve">and to </w:t>
      </w:r>
      <w:r w:rsidR="00402289">
        <w:rPr>
          <w:rFonts w:cs="Times New Roman"/>
        </w:rPr>
        <w:t xml:space="preserve">CPIC </w:t>
      </w:r>
      <w:r w:rsidR="00535014" w:rsidRPr="007F5874">
        <w:rPr>
          <w:rFonts w:cs="Times New Roman"/>
        </w:rPr>
        <w:t xml:space="preserve">Steering Committee </w:t>
      </w:r>
      <w:r w:rsidR="0089420C" w:rsidRPr="007F5874">
        <w:rPr>
          <w:rFonts w:cs="Times New Roman"/>
        </w:rPr>
        <w:t xml:space="preserve">(CPIC </w:t>
      </w:r>
      <w:r w:rsidR="00C471B5">
        <w:rPr>
          <w:rFonts w:cs="Times New Roman"/>
        </w:rPr>
        <w:t>director</w:t>
      </w:r>
      <w:r w:rsidR="0089420C" w:rsidRPr="007F5874">
        <w:rPr>
          <w:rFonts w:cs="Times New Roman"/>
        </w:rPr>
        <w:t>)</w:t>
      </w:r>
      <w:r w:rsidR="006871BF" w:rsidRPr="007F5874">
        <w:rPr>
          <w:rFonts w:cs="Times New Roman"/>
        </w:rPr>
        <w:t>.</w:t>
      </w:r>
    </w:p>
    <w:p w14:paraId="0A2986E2"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762850A8" w14:textId="77777777"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3AB44F5" w14:textId="77777777"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5C810B4C"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5D9B4776"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w:t>
      </w:r>
      <w:r w:rsidR="00C471B5">
        <w:rPr>
          <w:rFonts w:cs="Times New Roman"/>
        </w:rPr>
        <w:t>director</w:t>
      </w:r>
      <w:r w:rsidR="00301A95" w:rsidRPr="007F5874">
        <w:rPr>
          <w:rFonts w:cs="Times New Roman"/>
        </w:rPr>
        <w:t xml:space="preserve"> will provide)</w:t>
      </w:r>
    </w:p>
    <w:p w14:paraId="29116671" w14:textId="77777777" w:rsidR="00AE6E5C" w:rsidRPr="007F5874" w:rsidRDefault="00AE6E5C" w:rsidP="00AE6E5C">
      <w:pPr>
        <w:rPr>
          <w:rFonts w:cs="Times New Roman"/>
        </w:rPr>
      </w:pPr>
    </w:p>
    <w:p w14:paraId="1B93B819" w14:textId="77777777" w:rsidR="00C267E0" w:rsidRPr="00C267E0" w:rsidRDefault="00F70CAD" w:rsidP="00C267E0">
      <w:pPr>
        <w:pStyle w:val="Heading2"/>
        <w:ind w:left="0" w:firstLine="0"/>
      </w:pPr>
      <w:r w:rsidRPr="007F5874">
        <w:t xml:space="preserve"> </w:t>
      </w:r>
      <w:bookmarkStart w:id="7" w:name="_Toc13059448"/>
      <w:r w:rsidR="00B27402" w:rsidRPr="007F5874">
        <w:t xml:space="preserve">Evidence </w:t>
      </w:r>
      <w:proofErr w:type="gramStart"/>
      <w:r w:rsidR="00B27402" w:rsidRPr="007F5874">
        <w:t>review</w:t>
      </w:r>
      <w:bookmarkEnd w:id="7"/>
      <w:proofErr w:type="gramEnd"/>
      <w:r w:rsidR="00B27402" w:rsidRPr="007F5874">
        <w:t xml:space="preserve"> </w:t>
      </w:r>
    </w:p>
    <w:p w14:paraId="2DD3EB89" w14:textId="77777777" w:rsidR="00F70CAD" w:rsidRPr="007F5874" w:rsidRDefault="00F70CAD" w:rsidP="00F70CAD">
      <w:pPr>
        <w:rPr>
          <w:rFonts w:cs="Times New Roman"/>
        </w:rPr>
      </w:pPr>
    </w:p>
    <w:p w14:paraId="018AB9D8" w14:textId="0E318ADE" w:rsidR="00822F5E" w:rsidRPr="00822F5E" w:rsidRDefault="00723912" w:rsidP="00822F5E">
      <w:pPr>
        <w:rPr>
          <w:rFonts w:cs="Times New Roman"/>
        </w:rPr>
      </w:pPr>
      <w:r>
        <w:rPr>
          <w:rFonts w:cs="Times New Roman"/>
        </w:rPr>
        <w:t>A</w:t>
      </w:r>
      <w:r w:rsidR="00F70CAD" w:rsidRPr="007F5874">
        <w:rPr>
          <w:rFonts w:cs="Times New Roman"/>
        </w:rPr>
        <w:t xml:space="preserve"> search of </w:t>
      </w:r>
      <w:r w:rsidR="0002187D" w:rsidRPr="007F5874">
        <w:rPr>
          <w:rFonts w:cs="Times New Roman"/>
        </w:rPr>
        <w:t>PubMed</w:t>
      </w:r>
      <w:r w:rsidR="00EF0B73" w:rsidRPr="007F5874">
        <w:rPr>
          <w:rFonts w:cs="Times New Roman"/>
        </w:rPr>
        <w:t xml:space="preserve"> and</w:t>
      </w:r>
      <w:r w:rsidR="002B26CD">
        <w:rPr>
          <w:rFonts w:cs="Times New Roman"/>
        </w:rPr>
        <w:t>/or</w:t>
      </w:r>
      <w:r w:rsidR="00EF0B73" w:rsidRPr="007F5874">
        <w:rPr>
          <w:rFonts w:cs="Times New Roman"/>
        </w:rPr>
        <w:t xml:space="preserve"> OVID MEDLINE</w:t>
      </w:r>
      <w:r w:rsidR="00F70CAD" w:rsidRPr="007F5874">
        <w:rPr>
          <w:rFonts w:cs="Times New Roman"/>
        </w:rPr>
        <w:t xml:space="preserve"> is done using the following kind of format for your gene and drug</w:t>
      </w:r>
      <w:r w:rsidR="002B26CD">
        <w:rPr>
          <w:rFonts w:cs="Times New Roman"/>
        </w:rPr>
        <w:t>(s)</w:t>
      </w:r>
      <w:r w:rsidR="00F70CAD" w:rsidRPr="007F5874">
        <w:rPr>
          <w:rFonts w:cs="Times New Roman"/>
        </w:rPr>
        <w:t xml:space="preserve"> of interest. Keywords: (gene name) OR (gene symbol) AND (drug name). </w:t>
      </w:r>
      <w:r w:rsidRPr="00822F5E">
        <w:rPr>
          <w:rFonts w:cs="Times New Roman"/>
        </w:rPr>
        <w:t xml:space="preserve"> </w:t>
      </w:r>
    </w:p>
    <w:p w14:paraId="76F796DD" w14:textId="77777777" w:rsidR="00822F5E" w:rsidRDefault="00723912" w:rsidP="009361FA">
      <w:pPr>
        <w:pStyle w:val="ListParagraph"/>
        <w:numPr>
          <w:ilvl w:val="0"/>
          <w:numId w:val="37"/>
        </w:numPr>
        <w:ind w:left="720"/>
        <w:rPr>
          <w:rFonts w:cs="Times New Roman"/>
        </w:rPr>
      </w:pPr>
      <w:r w:rsidRPr="00822F5E">
        <w:rPr>
          <w:rFonts w:cs="Times New Roman"/>
        </w:rPr>
        <w:t xml:space="preserve">Evidence must be from published data only (no unpublished data should be included). </w:t>
      </w:r>
    </w:p>
    <w:p w14:paraId="1AAA3110" w14:textId="77777777" w:rsidR="00822F5E" w:rsidRDefault="00723912" w:rsidP="009361FA">
      <w:pPr>
        <w:pStyle w:val="ListParagraph"/>
        <w:numPr>
          <w:ilvl w:val="0"/>
          <w:numId w:val="37"/>
        </w:numPr>
        <w:ind w:left="720"/>
        <w:rPr>
          <w:rFonts w:cs="Times New Roman"/>
        </w:rPr>
      </w:pPr>
      <w:r w:rsidRPr="00822F5E">
        <w:rPr>
          <w:rFonts w:cs="Times New Roman"/>
        </w:rPr>
        <w:t xml:space="preserve">Keywords and inclusion criteria will be determined by authors on the first author call. </w:t>
      </w:r>
      <w:r w:rsidR="00822F5E">
        <w:rPr>
          <w:rFonts w:cs="Times New Roman"/>
        </w:rPr>
        <w:t>Sometimes including a search for the Adverse Drug Reaction (ADR) name may find more specific papers.</w:t>
      </w:r>
    </w:p>
    <w:p w14:paraId="4362B4EC" w14:textId="0E28EC70" w:rsidR="00822F5E" w:rsidRPr="00822F5E" w:rsidRDefault="00723912" w:rsidP="009361FA">
      <w:pPr>
        <w:pStyle w:val="ListParagraph"/>
        <w:numPr>
          <w:ilvl w:val="0"/>
          <w:numId w:val="37"/>
        </w:numPr>
        <w:ind w:left="720"/>
        <w:rPr>
          <w:rFonts w:cs="Times New Roman"/>
        </w:rPr>
      </w:pPr>
      <w:r w:rsidRPr="00822F5E">
        <w:rPr>
          <w:rFonts w:cs="Times New Roman"/>
        </w:rPr>
        <w:t>Inclusion criteria includes genotype to phenotype associations</w:t>
      </w:r>
      <w:r w:rsidR="002B26CD" w:rsidRPr="00822F5E">
        <w:rPr>
          <w:rFonts w:cs="Times New Roman"/>
        </w:rPr>
        <w:t xml:space="preserve">, </w:t>
      </w:r>
      <w:r w:rsidRPr="00822F5E">
        <w:rPr>
          <w:rFonts w:cs="Times New Roman"/>
        </w:rPr>
        <w:t>enzyme acti</w:t>
      </w:r>
      <w:r w:rsidR="002B26CD" w:rsidRPr="00822F5E">
        <w:rPr>
          <w:rFonts w:cs="Times New Roman"/>
        </w:rPr>
        <w:t xml:space="preserve">vity to phenotype associations and any types of evidence the authors have determined would help support the recommendations. </w:t>
      </w:r>
    </w:p>
    <w:p w14:paraId="35FFC508" w14:textId="1DA90E10" w:rsidR="00F70CAD" w:rsidRPr="00822F5E" w:rsidRDefault="00822F5E" w:rsidP="009361FA">
      <w:pPr>
        <w:pStyle w:val="ListParagraph"/>
        <w:numPr>
          <w:ilvl w:val="0"/>
          <w:numId w:val="37"/>
        </w:numPr>
        <w:ind w:left="720"/>
        <w:rPr>
          <w:rFonts w:cs="Times New Roman"/>
        </w:rPr>
      </w:pPr>
      <w:r>
        <w:rPr>
          <w:rFonts w:cs="Times New Roman"/>
        </w:rPr>
        <w:lastRenderedPageBreak/>
        <w:t>Citations</w:t>
      </w:r>
      <w:r w:rsidR="002B26CD" w:rsidRPr="00822F5E">
        <w:rPr>
          <w:rFonts w:cs="Times New Roman"/>
        </w:rPr>
        <w:t xml:space="preserve"> will go into the Evidence Table in the supplement and underlies the key table 2. </w:t>
      </w:r>
    </w:p>
    <w:p w14:paraId="30368AB7" w14:textId="77777777" w:rsidR="00F70CAD" w:rsidRPr="007F5874" w:rsidRDefault="00F70CAD" w:rsidP="00F70CAD">
      <w:pPr>
        <w:rPr>
          <w:rFonts w:cs="Times New Roman"/>
        </w:rPr>
      </w:pPr>
      <w:r w:rsidRPr="007F5874">
        <w:rPr>
          <w:rFonts w:cs="Times New Roman"/>
        </w:rPr>
        <w:t xml:space="preserve"> </w:t>
      </w:r>
    </w:p>
    <w:p w14:paraId="37745AE8" w14:textId="3A35817F"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w:t>
      </w:r>
    </w:p>
    <w:p w14:paraId="05D05A9D" w14:textId="77777777" w:rsidR="00F70CAD" w:rsidRDefault="00F70CAD" w:rsidP="007704E5">
      <w:pPr>
        <w:rPr>
          <w:rFonts w:cs="Times New Roman"/>
        </w:rPr>
      </w:pPr>
    </w:p>
    <w:p w14:paraId="2530F4D4" w14:textId="77777777"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622D40E8" w14:textId="77777777" w:rsidR="00B83727" w:rsidRPr="007F5874" w:rsidRDefault="00B83727" w:rsidP="007704E5">
      <w:pPr>
        <w:rPr>
          <w:rFonts w:cs="Times New Roman"/>
        </w:rPr>
      </w:pPr>
    </w:p>
    <w:p w14:paraId="7D1FE097"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4AF7F8AA" w14:textId="77777777" w:rsidR="00F70CAD" w:rsidRPr="007F5874" w:rsidRDefault="00F70CAD" w:rsidP="007704E5">
      <w:pPr>
        <w:rPr>
          <w:rFonts w:cs="Times New Roman"/>
        </w:rPr>
      </w:pPr>
    </w:p>
    <w:p w14:paraId="260B7CAF" w14:textId="21297C3F" w:rsidR="00567073" w:rsidRPr="007F5874" w:rsidRDefault="00C267E0" w:rsidP="007704E5">
      <w:pPr>
        <w:rPr>
          <w:rFonts w:cs="Times New Roman"/>
        </w:rPr>
      </w:pPr>
      <w:r>
        <w:rPr>
          <w:rFonts w:cs="Times New Roman"/>
        </w:rPr>
        <w:t>The summary of evidence working document</w:t>
      </w:r>
      <w:r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Pr>
          <w:rFonts w:cs="Times New Roman"/>
        </w:rPr>
        <w:t xml:space="preserve"> or </w:t>
      </w:r>
      <w:r w:rsidR="00F455BD">
        <w:rPr>
          <w:rFonts w:cs="Times New Roman"/>
        </w:rPr>
        <w:t xml:space="preserve">lists </w:t>
      </w:r>
      <w:r>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w:t>
      </w:r>
      <w:proofErr w:type="gramStart"/>
      <w:r w:rsidR="000A1C8F">
        <w:rPr>
          <w:rFonts w:cs="Times New Roman"/>
        </w:rPr>
        <w:t xml:space="preserve">data, </w:t>
      </w:r>
      <w:r w:rsidR="004664B0">
        <w:rPr>
          <w:rFonts w:cs="Times New Roman"/>
        </w:rPr>
        <w:t>and</w:t>
      </w:r>
      <w:proofErr w:type="gramEnd"/>
      <w:r w:rsidR="004664B0">
        <w:rPr>
          <w:rFonts w:cs="Times New Roman"/>
        </w:rPr>
        <w:t xml:space="preserve">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 xml:space="preserve">the </w:t>
      </w:r>
      <w:r w:rsidR="008F2AC8">
        <w:rPr>
          <w:rFonts w:cs="Times New Roman"/>
        </w:rPr>
        <w:t xml:space="preserve">Stanford PGx Group </w:t>
      </w:r>
      <w:r w:rsidR="000A1C8F">
        <w:rPr>
          <w:rFonts w:cs="Times New Roman"/>
        </w:rPr>
        <w:t>author</w:t>
      </w:r>
      <w:r>
        <w:rPr>
          <w:rFonts w:cs="Times New Roman"/>
        </w:rPr>
        <w:t>,</w:t>
      </w:r>
      <w:r w:rsidR="00F455BD">
        <w:rPr>
          <w:rFonts w:cs="Times New Roman"/>
        </w:rPr>
        <w:t xml:space="preserve"> </w:t>
      </w:r>
      <w:r w:rsidR="000A1C8F">
        <w:rPr>
          <w:rFonts w:cs="Times New Roman"/>
        </w:rPr>
        <w:t xml:space="preserve">CPIC </w:t>
      </w:r>
      <w:r w:rsidR="00C471B5">
        <w:rPr>
          <w:rFonts w:cs="Times New Roman"/>
        </w:rPr>
        <w:t>director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21BB00C5" w14:textId="77777777" w:rsidR="00567073" w:rsidRPr="007F5874" w:rsidRDefault="00567073" w:rsidP="007704E5">
      <w:pPr>
        <w:rPr>
          <w:rFonts w:cs="Times New Roman"/>
        </w:rPr>
      </w:pPr>
    </w:p>
    <w:p w14:paraId="1E194C14"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4B884BD2" w14:textId="77777777" w:rsidR="00567073" w:rsidRDefault="00567073" w:rsidP="007704E5">
      <w:pPr>
        <w:rPr>
          <w:rFonts w:cs="Times New Roman"/>
        </w:rPr>
      </w:pPr>
    </w:p>
    <w:p w14:paraId="46D185BD" w14:textId="77777777"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6F048451" w14:textId="77777777"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1B54FD68" w14:textId="7F435EA1"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r w:rsidR="009D0308">
        <w:rPr>
          <w:rFonts w:cs="Times New Roman"/>
        </w:rPr>
        <w:t xml:space="preserve"> or enzyme activity</w:t>
      </w:r>
    </w:p>
    <w:p w14:paraId="268A3A80" w14:textId="56923F59"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r w:rsidR="009D0308">
        <w:rPr>
          <w:rFonts w:cs="Times New Roman"/>
        </w:rPr>
        <w:t xml:space="preserve"> or enzyme activity</w:t>
      </w:r>
    </w:p>
    <w:p w14:paraId="1FF3116D"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4AF03CAB"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7D543D31" w14:textId="77777777" w:rsidR="00A121F9" w:rsidRPr="007F5874" w:rsidRDefault="00A121F9" w:rsidP="00A121F9">
      <w:pPr>
        <w:rPr>
          <w:rFonts w:cs="Times New Roman"/>
          <w:i/>
        </w:rPr>
      </w:pPr>
    </w:p>
    <w:p w14:paraId="23BC6F2C"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0F01B3E5" w14:textId="77777777" w:rsidR="00A121F9" w:rsidRPr="007F5874" w:rsidRDefault="00A121F9" w:rsidP="007704E5">
      <w:pPr>
        <w:rPr>
          <w:rFonts w:cs="Times New Roman"/>
        </w:rPr>
      </w:pPr>
    </w:p>
    <w:p w14:paraId="4F5F018D" w14:textId="77777777" w:rsidR="00A121F9" w:rsidRDefault="00A121F9" w:rsidP="00DB1924">
      <w:pPr>
        <w:rPr>
          <w:b/>
          <w:i/>
        </w:rPr>
      </w:pPr>
      <w:r w:rsidRPr="007F5874">
        <w:rPr>
          <w:b/>
          <w:i/>
        </w:rPr>
        <w:t>Score the evidence</w:t>
      </w:r>
    </w:p>
    <w:p w14:paraId="0ACB6241" w14:textId="77777777" w:rsidR="00F455BD" w:rsidRDefault="00F455BD" w:rsidP="00DB1924"/>
    <w:p w14:paraId="37851DE6" w14:textId="77777777" w:rsidR="00F455BD" w:rsidRDefault="00F455BD" w:rsidP="00DB1924">
      <w:r w:rsidRPr="001153C3">
        <w:lastRenderedPageBreak/>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68E02990" w14:textId="77777777" w:rsidR="005F59C2" w:rsidRDefault="005F59C2" w:rsidP="00DB1924"/>
    <w:p w14:paraId="7EAD0F7C"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50380DF1" w14:textId="77777777" w:rsidR="00A121F9" w:rsidRPr="007F5874" w:rsidRDefault="00A121F9" w:rsidP="00A121F9">
      <w:pPr>
        <w:rPr>
          <w:rFonts w:cs="Times New Roman"/>
          <w:b/>
        </w:rPr>
      </w:pPr>
    </w:p>
    <w:p w14:paraId="117BC72C"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549496AF"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63659E26"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4C710B32" w14:textId="77777777" w:rsidR="00A121F9" w:rsidRPr="007F5874" w:rsidRDefault="00A121F9" w:rsidP="00A121F9">
      <w:pPr>
        <w:rPr>
          <w:rFonts w:cs="Times New Roman"/>
        </w:rPr>
      </w:pPr>
    </w:p>
    <w:p w14:paraId="27C74C84" w14:textId="77777777" w:rsidR="00A121F9" w:rsidRPr="007F5874" w:rsidRDefault="002C5B6F" w:rsidP="00A121F9">
      <w:pPr>
        <w:rPr>
          <w:rFonts w:cs="Times New Roman"/>
          <w:b/>
        </w:rPr>
      </w:pPr>
      <w:r w:rsidRPr="007F5874">
        <w:rPr>
          <w:rFonts w:cs="Times New Roman"/>
          <w:b/>
          <w:noProof/>
        </w:rPr>
        <w:drawing>
          <wp:inline distT="0" distB="0" distL="0" distR="0" wp14:anchorId="154474BE" wp14:editId="7E3F6361">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7"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23CF2525" w14:textId="77777777" w:rsidR="008A6760" w:rsidRDefault="008A6760" w:rsidP="008A6760"/>
    <w:p w14:paraId="3BA76D3F" w14:textId="77777777" w:rsidR="005F59C2" w:rsidRPr="00A92471" w:rsidRDefault="005F59C2" w:rsidP="005F59C2">
      <w:r w:rsidRPr="005F59C2">
        <w:rPr>
          <w:b/>
        </w:rPr>
        <w:t>Suggested</w:t>
      </w:r>
      <w:r>
        <w:t xml:space="preserve"> </w:t>
      </w:r>
      <w:r w:rsidRPr="005F59C2">
        <w:rPr>
          <w:b/>
        </w:rPr>
        <w:t>methodology for scoring the evidence:</w:t>
      </w:r>
      <w:r>
        <w:t xml:space="preserve"> </w:t>
      </w:r>
    </w:p>
    <w:p w14:paraId="0BAE600C" w14:textId="77777777" w:rsidR="005F59C2" w:rsidRDefault="005F59C2" w:rsidP="008A6760"/>
    <w:p w14:paraId="2116EF44" w14:textId="77777777" w:rsidR="005F59C2" w:rsidRDefault="005F59C2" w:rsidP="008A6760"/>
    <w:p w14:paraId="2A746DEF" w14:textId="5FA2C64B" w:rsidR="005F59C2" w:rsidRPr="00DB6A16" w:rsidRDefault="005F59C2" w:rsidP="005F59C2">
      <w:pPr>
        <w:rPr>
          <w:i/>
        </w:rPr>
      </w:pPr>
      <w:r w:rsidRPr="00DB6A16">
        <w:rPr>
          <w:i/>
        </w:rPr>
        <w:t>Step 1: Evaluate the quality elements for individual studies as yes, no, partially, unclear, or not relevant</w:t>
      </w:r>
      <w:r>
        <w:rPr>
          <w:i/>
        </w:rPr>
        <w:t xml:space="preserve"> (adapted from ASCO guidelines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4FAA2E75" w14:textId="77777777" w:rsidR="005F59C2" w:rsidRDefault="005F59C2" w:rsidP="005F59C2">
      <w:pPr>
        <w:pStyle w:val="ListParagraph"/>
        <w:numPr>
          <w:ilvl w:val="0"/>
          <w:numId w:val="32"/>
        </w:numPr>
      </w:pPr>
      <w:r>
        <w:t>Confounders and use of concomitant medications with possible drug interactions are reported and potential impact on the major finding are analyzed and reported.</w:t>
      </w:r>
    </w:p>
    <w:p w14:paraId="4EC52707" w14:textId="77777777" w:rsidR="005F59C2" w:rsidRDefault="005F59C2" w:rsidP="005F59C2">
      <w:pPr>
        <w:pStyle w:val="ListParagraph"/>
        <w:numPr>
          <w:ilvl w:val="0"/>
          <w:numId w:val="32"/>
        </w:numPr>
      </w:pPr>
      <w:r>
        <w:t>Phenotype assignments (when comparing phenotype groups) are based on CPIC phenotype assignment or similar.</w:t>
      </w:r>
    </w:p>
    <w:p w14:paraId="7C77204A" w14:textId="77777777" w:rsidR="005F59C2" w:rsidRDefault="005F59C2" w:rsidP="005F59C2">
      <w:pPr>
        <w:pStyle w:val="ListParagraph"/>
        <w:numPr>
          <w:ilvl w:val="0"/>
          <w:numId w:val="32"/>
        </w:numPr>
      </w:pPr>
      <w:r>
        <w:t xml:space="preserve">Reported data are based on steady-state kinetics where appropriate. </w:t>
      </w:r>
    </w:p>
    <w:p w14:paraId="011EB48B" w14:textId="77777777" w:rsidR="005F59C2" w:rsidRDefault="005F59C2" w:rsidP="005F59C2">
      <w:pPr>
        <w:pStyle w:val="ListParagraph"/>
        <w:numPr>
          <w:ilvl w:val="0"/>
          <w:numId w:val="32"/>
        </w:numPr>
      </w:pPr>
      <w:r>
        <w:t>Sample size adequate to assess difference between genotype/phenotype groups, especially for negative findings.</w:t>
      </w:r>
    </w:p>
    <w:p w14:paraId="1200DD24" w14:textId="77777777" w:rsidR="005F59C2" w:rsidRDefault="005F59C2" w:rsidP="005F59C2">
      <w:pPr>
        <w:pStyle w:val="ListParagraph"/>
        <w:numPr>
          <w:ilvl w:val="0"/>
          <w:numId w:val="32"/>
        </w:numPr>
      </w:pPr>
      <w:r>
        <w:t>Adequate phenotyping or genotyping methods:</w:t>
      </w:r>
    </w:p>
    <w:p w14:paraId="46305ABD" w14:textId="77777777" w:rsidR="005F59C2" w:rsidRDefault="005F59C2" w:rsidP="005F59C2">
      <w:pPr>
        <w:pStyle w:val="ListParagraph"/>
        <w:numPr>
          <w:ilvl w:val="1"/>
          <w:numId w:val="32"/>
        </w:numPr>
      </w:pPr>
      <w:r>
        <w:t>States all genetic variants screened</w:t>
      </w:r>
    </w:p>
    <w:p w14:paraId="4815CD87" w14:textId="77777777" w:rsidR="005F59C2" w:rsidRDefault="005F59C2" w:rsidP="005F59C2">
      <w:pPr>
        <w:pStyle w:val="ListParagraph"/>
        <w:numPr>
          <w:ilvl w:val="1"/>
          <w:numId w:val="32"/>
        </w:numPr>
      </w:pPr>
      <w:r>
        <w:t>Alleles tested are adequate to determine “wild-type” genotype</w:t>
      </w:r>
    </w:p>
    <w:p w14:paraId="077A9381" w14:textId="77777777" w:rsidR="005F59C2" w:rsidRDefault="005F59C2" w:rsidP="005F59C2">
      <w:pPr>
        <w:pStyle w:val="ListParagraph"/>
        <w:numPr>
          <w:ilvl w:val="1"/>
          <w:numId w:val="32"/>
        </w:numPr>
      </w:pPr>
      <w:r>
        <w:t>Adequate phenotyping or genotyping method used</w:t>
      </w:r>
    </w:p>
    <w:p w14:paraId="04797F14" w14:textId="77777777" w:rsidR="005F59C2" w:rsidRDefault="005F59C2" w:rsidP="005F59C2">
      <w:pPr>
        <w:pStyle w:val="ListParagraph"/>
        <w:numPr>
          <w:ilvl w:val="1"/>
          <w:numId w:val="32"/>
        </w:numPr>
      </w:pPr>
      <w:r>
        <w:t>Appropriate attainment of samples</w:t>
      </w:r>
    </w:p>
    <w:p w14:paraId="440CD31E" w14:textId="77777777" w:rsidR="005F59C2" w:rsidRDefault="005F59C2" w:rsidP="005F59C2">
      <w:pPr>
        <w:pStyle w:val="ListParagraph"/>
        <w:numPr>
          <w:ilvl w:val="1"/>
          <w:numId w:val="32"/>
        </w:numPr>
      </w:pPr>
      <w:r>
        <w:t>Defines how * alleles defined, if applicable</w:t>
      </w:r>
    </w:p>
    <w:p w14:paraId="3B0C1039" w14:textId="77777777" w:rsidR="005F59C2" w:rsidRDefault="005F59C2" w:rsidP="005F59C2">
      <w:pPr>
        <w:pStyle w:val="ListParagraph"/>
        <w:numPr>
          <w:ilvl w:val="1"/>
          <w:numId w:val="32"/>
        </w:numPr>
      </w:pPr>
      <w:r>
        <w:t xml:space="preserve">Clearly states which genotypes were found in the study </w:t>
      </w:r>
    </w:p>
    <w:p w14:paraId="58D72AE1" w14:textId="77777777" w:rsidR="005F59C2" w:rsidRDefault="005F59C2" w:rsidP="005F59C2">
      <w:pPr>
        <w:pStyle w:val="ListParagraph"/>
        <w:numPr>
          <w:ilvl w:val="0"/>
          <w:numId w:val="32"/>
        </w:numPr>
      </w:pPr>
      <w:r>
        <w:lastRenderedPageBreak/>
        <w:t>Race and/or ancestry is discussed and appropriately considered.</w:t>
      </w:r>
    </w:p>
    <w:p w14:paraId="5194E137" w14:textId="77777777" w:rsidR="005F59C2" w:rsidRDefault="005F59C2" w:rsidP="005F59C2">
      <w:pPr>
        <w:pStyle w:val="ListParagraph"/>
        <w:numPr>
          <w:ilvl w:val="0"/>
          <w:numId w:val="32"/>
        </w:numPr>
      </w:pPr>
      <w:r>
        <w:t>Outcome definition clearly defined and measured.</w:t>
      </w:r>
    </w:p>
    <w:p w14:paraId="5790CEE6" w14:textId="77777777" w:rsidR="005F59C2" w:rsidRDefault="005F59C2" w:rsidP="005F59C2">
      <w:pPr>
        <w:pStyle w:val="ListParagraph"/>
        <w:numPr>
          <w:ilvl w:val="0"/>
          <w:numId w:val="32"/>
        </w:numPr>
      </w:pPr>
      <w:r>
        <w:t>Appropriate statistics performed.</w:t>
      </w:r>
    </w:p>
    <w:p w14:paraId="695E382D" w14:textId="77777777" w:rsidR="005F59C2" w:rsidRDefault="005F59C2" w:rsidP="005F59C2"/>
    <w:p w14:paraId="5E9E0265" w14:textId="16D6C3B4" w:rsidR="005F59C2" w:rsidRDefault="005F59C2" w:rsidP="005F59C2">
      <w:pPr>
        <w:rPr>
          <w:i/>
        </w:rPr>
      </w:pPr>
      <w:r w:rsidRPr="00DB6A16">
        <w:rPr>
          <w:i/>
        </w:rPr>
        <w:t>Step 2: Rate how the individual study supports the major finding statement</w:t>
      </w:r>
      <w:r>
        <w:rPr>
          <w:i/>
        </w:rPr>
        <w:t xml:space="preserve"> (adapted from ASCO guideline development process </w:t>
      </w:r>
      <w:r>
        <w:rPr>
          <w:i/>
        </w:rPr>
        <w:fldChar w:fldCharType="begin"/>
      </w:r>
      <w:r w:rsidR="00822F5E">
        <w:rPr>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Pr>
          <w:i/>
        </w:rPr>
        <w:fldChar w:fldCharType="separate"/>
      </w:r>
      <w:r>
        <w:rPr>
          <w:i/>
          <w:noProof/>
        </w:rPr>
        <w:t>(</w:t>
      </w:r>
      <w:hyperlink w:anchor="_ENREF_1" w:tooltip="Einhaus, 2016 #1" w:history="1">
        <w:r w:rsidR="00822F5E">
          <w:rPr>
            <w:i/>
            <w:noProof/>
          </w:rPr>
          <w:t>1</w:t>
        </w:r>
      </w:hyperlink>
      <w:r>
        <w:rPr>
          <w:i/>
          <w:noProof/>
        </w:rPr>
        <w:t>)</w:t>
      </w:r>
      <w:r>
        <w:rPr>
          <w:i/>
        </w:rPr>
        <w:fldChar w:fldCharType="end"/>
      </w:r>
      <w:r w:rsidRPr="00DB6A16">
        <w:rPr>
          <w:i/>
        </w:rPr>
        <w:t>:</w:t>
      </w:r>
    </w:p>
    <w:p w14:paraId="6ECEB3AE" w14:textId="77777777" w:rsidR="005F59C2" w:rsidRDefault="005F59C2" w:rsidP="005F59C2">
      <w:pPr>
        <w:rPr>
          <w:i/>
        </w:rPr>
      </w:pPr>
    </w:p>
    <w:p w14:paraId="0AD015FF" w14:textId="77777777" w:rsidR="005F59C2" w:rsidRPr="00C3793E" w:rsidRDefault="005F59C2" w:rsidP="005F59C2">
      <w:pPr>
        <w:pStyle w:val="ListParagraph"/>
        <w:numPr>
          <w:ilvl w:val="0"/>
          <w:numId w:val="36"/>
        </w:numPr>
        <w:rPr>
          <w:i/>
        </w:rPr>
      </w:pPr>
      <w:r>
        <w:t>First, determine if the study supports the major finding statement or does not support it.</w:t>
      </w:r>
    </w:p>
    <w:p w14:paraId="6BE88DCF" w14:textId="77777777" w:rsidR="005F59C2" w:rsidRPr="00C3793E" w:rsidRDefault="005F59C2" w:rsidP="005F59C2">
      <w:pPr>
        <w:pStyle w:val="ListParagraph"/>
        <w:numPr>
          <w:ilvl w:val="0"/>
          <w:numId w:val="36"/>
        </w:numPr>
        <w:rPr>
          <w:i/>
        </w:rPr>
      </w:pPr>
      <w:r>
        <w:t>Second, qualify the statement (if needed) based on the quality elements listed above:</w:t>
      </w:r>
    </w:p>
    <w:p w14:paraId="5395248D" w14:textId="77777777" w:rsidR="005F59C2" w:rsidRPr="00C3793E" w:rsidRDefault="005F59C2" w:rsidP="005F59C2">
      <w:pPr>
        <w:pStyle w:val="ListParagraph"/>
        <w:numPr>
          <w:ilvl w:val="1"/>
          <w:numId w:val="36"/>
        </w:numPr>
        <w:rPr>
          <w:i/>
        </w:rPr>
      </w:pPr>
      <w:r w:rsidRPr="00C3793E">
        <w:rPr>
          <w:b/>
        </w:rPr>
        <w:t>Some study quality flaws</w:t>
      </w:r>
      <w:r>
        <w:t>: Enough of the items in step 1 are rated “partially,” “unclear,” or “no” to introduce some uncertainty about the validity of the conclusions.</w:t>
      </w:r>
    </w:p>
    <w:p w14:paraId="1BA813DC" w14:textId="77777777" w:rsidR="005F59C2" w:rsidRPr="00C3793E" w:rsidRDefault="005F59C2" w:rsidP="005F59C2">
      <w:pPr>
        <w:pStyle w:val="ListParagraph"/>
        <w:numPr>
          <w:ilvl w:val="1"/>
          <w:numId w:val="36"/>
        </w:numPr>
        <w:rPr>
          <w:i/>
        </w:rPr>
      </w:pPr>
      <w:r>
        <w:rPr>
          <w:b/>
        </w:rPr>
        <w:t>Major study quality flaws</w:t>
      </w:r>
      <w:r>
        <w:t>: Enough of the items in step 1 are rated “partially,” “unclear,” or “no” to introduce serious uncertainty about the validity of the conclusions.</w:t>
      </w:r>
    </w:p>
    <w:p w14:paraId="1A0EA236" w14:textId="77777777" w:rsidR="005F59C2" w:rsidRPr="00C3793E" w:rsidRDefault="005F59C2" w:rsidP="005F59C2">
      <w:pPr>
        <w:pStyle w:val="ListParagraph"/>
        <w:numPr>
          <w:ilvl w:val="1"/>
          <w:numId w:val="36"/>
        </w:numPr>
        <w:rPr>
          <w:i/>
        </w:rPr>
      </w:pPr>
      <w:r w:rsidRPr="005341A3">
        <w:rPr>
          <w:b/>
        </w:rPr>
        <w:t xml:space="preserve">No qualification on statement is needed if </w:t>
      </w:r>
      <w:r w:rsidRPr="005341A3">
        <w:t>few items in step 1 are rated as “</w:t>
      </w:r>
      <w:r w:rsidRPr="007E633D">
        <w:t xml:space="preserve">partially,” “unclear,” or “no.” </w:t>
      </w:r>
    </w:p>
    <w:p w14:paraId="3E71A970" w14:textId="77777777" w:rsidR="005F59C2" w:rsidRPr="00C3793E" w:rsidRDefault="005F59C2" w:rsidP="005F59C2">
      <w:pPr>
        <w:pStyle w:val="ListParagraph"/>
        <w:numPr>
          <w:ilvl w:val="0"/>
          <w:numId w:val="36"/>
        </w:numPr>
        <w:rPr>
          <w:i/>
        </w:rPr>
      </w:pPr>
      <w:r>
        <w:t>There are six possible ratings:</w:t>
      </w:r>
    </w:p>
    <w:p w14:paraId="297E13E4" w14:textId="77777777" w:rsidR="005F59C2" w:rsidRPr="00C3793E" w:rsidRDefault="005F59C2" w:rsidP="005F59C2">
      <w:pPr>
        <w:pStyle w:val="ListParagraph"/>
        <w:numPr>
          <w:ilvl w:val="1"/>
          <w:numId w:val="36"/>
        </w:numPr>
        <w:rPr>
          <w:i/>
        </w:rPr>
      </w:pPr>
      <w:r>
        <w:t>Supports the statement</w:t>
      </w:r>
    </w:p>
    <w:p w14:paraId="64CDE260" w14:textId="77777777" w:rsidR="005F59C2" w:rsidRPr="00C3793E" w:rsidRDefault="005F59C2" w:rsidP="005F59C2">
      <w:pPr>
        <w:pStyle w:val="ListParagraph"/>
        <w:numPr>
          <w:ilvl w:val="1"/>
          <w:numId w:val="36"/>
        </w:numPr>
        <w:rPr>
          <w:i/>
        </w:rPr>
      </w:pPr>
      <w:r>
        <w:t>Supports the statement but with some quality flaws</w:t>
      </w:r>
    </w:p>
    <w:p w14:paraId="497260D4" w14:textId="77777777" w:rsidR="005F59C2" w:rsidRPr="00C3793E" w:rsidRDefault="005F59C2" w:rsidP="005F59C2">
      <w:pPr>
        <w:pStyle w:val="ListParagraph"/>
        <w:numPr>
          <w:ilvl w:val="1"/>
          <w:numId w:val="36"/>
        </w:numPr>
        <w:rPr>
          <w:i/>
        </w:rPr>
      </w:pPr>
      <w:r>
        <w:t>Supports the statement but with major quality flaws</w:t>
      </w:r>
    </w:p>
    <w:p w14:paraId="43F98AB2" w14:textId="77777777" w:rsidR="005F59C2" w:rsidRPr="00C3793E" w:rsidRDefault="005F59C2" w:rsidP="005F59C2">
      <w:pPr>
        <w:pStyle w:val="ListParagraph"/>
        <w:numPr>
          <w:ilvl w:val="1"/>
          <w:numId w:val="36"/>
        </w:numPr>
        <w:rPr>
          <w:i/>
        </w:rPr>
      </w:pPr>
      <w:r>
        <w:t>Does not support the statement</w:t>
      </w:r>
    </w:p>
    <w:p w14:paraId="574A94CC" w14:textId="77777777" w:rsidR="005F59C2" w:rsidRPr="00C3793E" w:rsidRDefault="005F59C2" w:rsidP="005F59C2">
      <w:pPr>
        <w:pStyle w:val="ListParagraph"/>
        <w:numPr>
          <w:ilvl w:val="1"/>
          <w:numId w:val="36"/>
        </w:numPr>
        <w:rPr>
          <w:i/>
        </w:rPr>
      </w:pPr>
      <w:r>
        <w:t>Does not support the statement but with some quality flaws</w:t>
      </w:r>
    </w:p>
    <w:p w14:paraId="633B308C" w14:textId="77777777" w:rsidR="005F59C2" w:rsidRPr="00C3793E" w:rsidRDefault="005F59C2" w:rsidP="005F59C2">
      <w:pPr>
        <w:pStyle w:val="ListParagraph"/>
        <w:numPr>
          <w:ilvl w:val="1"/>
          <w:numId w:val="36"/>
        </w:numPr>
        <w:rPr>
          <w:i/>
        </w:rPr>
      </w:pPr>
      <w:r>
        <w:t>Does not support the statement but with major quality flaws</w:t>
      </w:r>
    </w:p>
    <w:p w14:paraId="70C24DE9" w14:textId="77777777" w:rsidR="005F59C2" w:rsidRDefault="005F59C2" w:rsidP="005F59C2">
      <w:pPr>
        <w:rPr>
          <w:i/>
        </w:rPr>
      </w:pPr>
    </w:p>
    <w:p w14:paraId="68DAD3E8" w14:textId="77777777" w:rsidR="005F59C2" w:rsidRDefault="005F59C2" w:rsidP="005F59C2"/>
    <w:p w14:paraId="2E004E1D" w14:textId="77777777" w:rsidR="005F59C2" w:rsidRPr="00BF61AE" w:rsidRDefault="005F59C2" w:rsidP="005F59C2">
      <w:pPr>
        <w:rPr>
          <w:i/>
        </w:rPr>
      </w:pPr>
      <w:r w:rsidRPr="00BF61AE">
        <w:rPr>
          <w:i/>
        </w:rPr>
        <w:t>Step 3: Rate how preclinical in vitro or in vivo studies support the major finding statement:</w:t>
      </w:r>
    </w:p>
    <w:p w14:paraId="5CC1786A" w14:textId="77777777" w:rsidR="005F59C2" w:rsidRPr="00C72D14" w:rsidRDefault="005F59C2" w:rsidP="005F59C2">
      <w:pPr>
        <w:pStyle w:val="ListParagraph"/>
        <w:numPr>
          <w:ilvl w:val="0"/>
          <w:numId w:val="35"/>
        </w:numPr>
      </w:pPr>
      <w:r w:rsidRPr="00C72D14">
        <w:t>Supports the statement</w:t>
      </w:r>
    </w:p>
    <w:p w14:paraId="05355819" w14:textId="77777777" w:rsidR="005F59C2" w:rsidRPr="00C72D14" w:rsidRDefault="005F59C2" w:rsidP="005F59C2">
      <w:pPr>
        <w:pStyle w:val="ListParagraph"/>
        <w:numPr>
          <w:ilvl w:val="0"/>
          <w:numId w:val="35"/>
        </w:numPr>
      </w:pPr>
      <w:r w:rsidRPr="00C72D14">
        <w:t>Supports the statement but with some quality flaws</w:t>
      </w:r>
    </w:p>
    <w:p w14:paraId="6A816589" w14:textId="77777777" w:rsidR="005F59C2" w:rsidRPr="00C72D14" w:rsidRDefault="005F59C2" w:rsidP="005F59C2">
      <w:pPr>
        <w:pStyle w:val="ListParagraph"/>
        <w:numPr>
          <w:ilvl w:val="0"/>
          <w:numId w:val="35"/>
        </w:numPr>
      </w:pPr>
      <w:r w:rsidRPr="00C72D14">
        <w:t>Supports the statement but with major quality flaws</w:t>
      </w:r>
    </w:p>
    <w:p w14:paraId="01212A4A" w14:textId="77777777" w:rsidR="005F59C2" w:rsidRPr="00C72D14" w:rsidRDefault="005F59C2" w:rsidP="005F59C2">
      <w:pPr>
        <w:pStyle w:val="ListParagraph"/>
        <w:numPr>
          <w:ilvl w:val="0"/>
          <w:numId w:val="35"/>
        </w:numPr>
      </w:pPr>
      <w:r w:rsidRPr="00C72D14">
        <w:t>Does not support the statement</w:t>
      </w:r>
    </w:p>
    <w:p w14:paraId="70601379" w14:textId="77777777" w:rsidR="005F59C2" w:rsidRPr="00C72D14" w:rsidRDefault="005F59C2" w:rsidP="005F59C2">
      <w:pPr>
        <w:pStyle w:val="ListParagraph"/>
        <w:numPr>
          <w:ilvl w:val="0"/>
          <w:numId w:val="35"/>
        </w:numPr>
      </w:pPr>
      <w:r w:rsidRPr="00C72D14">
        <w:t xml:space="preserve">Does not support the statement but with some quality flaws </w:t>
      </w:r>
    </w:p>
    <w:p w14:paraId="30D80ACF" w14:textId="77777777" w:rsidR="005F59C2" w:rsidRPr="00C72D14" w:rsidRDefault="005F59C2" w:rsidP="005F59C2">
      <w:pPr>
        <w:pStyle w:val="ListParagraph"/>
        <w:numPr>
          <w:ilvl w:val="0"/>
          <w:numId w:val="35"/>
        </w:numPr>
      </w:pPr>
      <w:r w:rsidRPr="00C72D14">
        <w:t>Does not support the statement but with major quality flaws</w:t>
      </w:r>
    </w:p>
    <w:p w14:paraId="6B238455" w14:textId="77777777" w:rsidR="005F59C2" w:rsidRDefault="005F59C2" w:rsidP="005F59C2"/>
    <w:p w14:paraId="4C98A89D" w14:textId="26730547" w:rsidR="005F59C2" w:rsidRPr="007B73D7" w:rsidRDefault="005F59C2" w:rsidP="005F59C2">
      <w:pPr>
        <w:rPr>
          <w:rFonts w:cs="Times New Roman"/>
          <w:i/>
        </w:rPr>
      </w:pPr>
      <w:r w:rsidRPr="00DB6A16">
        <w:rPr>
          <w:i/>
        </w:rPr>
        <w:t xml:space="preserve">Step </w:t>
      </w:r>
      <w:r>
        <w:rPr>
          <w:i/>
        </w:rPr>
        <w:t>4</w:t>
      </w:r>
      <w:r w:rsidRPr="00DB6A16">
        <w:rPr>
          <w:i/>
        </w:rPr>
        <w:t xml:space="preserve">: </w:t>
      </w:r>
      <w:r w:rsidRPr="00DB6A16">
        <w:rPr>
          <w:rFonts w:cs="Times New Roman"/>
          <w:i/>
        </w:rPr>
        <w:t xml:space="preserve">Score each major finding statement based on all the evidence </w:t>
      </w:r>
      <w:r>
        <w:rPr>
          <w:rFonts w:cs="Times New Roman"/>
          <w:i/>
        </w:rPr>
        <w:t xml:space="preserve">and studies </w:t>
      </w:r>
      <w:r w:rsidRPr="00DB6A16">
        <w:rPr>
          <w:rFonts w:cs="Times New Roman"/>
          <w:i/>
        </w:rPr>
        <w:t>that support that major finding using the following criteria</w:t>
      </w:r>
      <w:r w:rsidRPr="007B73D7">
        <w:rPr>
          <w:rFonts w:cs="Times New Roman"/>
          <w:i/>
        </w:rPr>
        <w:t xml:space="preserve">. Scale modified slightly from Valdes et al. </w:t>
      </w:r>
      <w:r w:rsidRPr="007B73D7">
        <w:rPr>
          <w:rFonts w:cs="Times New Roman"/>
          <w:i/>
        </w:rPr>
        <w:fldChar w:fldCharType="begin"/>
      </w:r>
      <w:r w:rsidR="00822F5E">
        <w:rPr>
          <w:rFonts w:cs="Times New Roman"/>
          <w:i/>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Pr="007B73D7">
        <w:rPr>
          <w:rFonts w:cs="Times New Roman"/>
          <w:i/>
        </w:rPr>
        <w:fldChar w:fldCharType="separate"/>
      </w:r>
      <w:r w:rsidRPr="007B73D7">
        <w:rPr>
          <w:rFonts w:cs="Times New Roman"/>
          <w:i/>
          <w:noProof/>
        </w:rPr>
        <w:t>(</w:t>
      </w:r>
      <w:hyperlink w:anchor="_ENREF_2" w:tooltip="Valdes, 2010 #2" w:history="1">
        <w:r w:rsidR="00822F5E" w:rsidRPr="007B73D7">
          <w:rPr>
            <w:rFonts w:cs="Times New Roman"/>
            <w:i/>
            <w:noProof/>
          </w:rPr>
          <w:t>2</w:t>
        </w:r>
      </w:hyperlink>
      <w:r w:rsidRPr="007B73D7">
        <w:rPr>
          <w:rFonts w:cs="Times New Roman"/>
          <w:i/>
          <w:noProof/>
        </w:rPr>
        <w:t>)</w:t>
      </w:r>
      <w:r w:rsidRPr="007B73D7">
        <w:rPr>
          <w:rFonts w:cs="Times New Roman"/>
          <w:i/>
        </w:rPr>
        <w:fldChar w:fldCharType="end"/>
      </w:r>
      <w:r w:rsidRPr="007B73D7">
        <w:rPr>
          <w:rFonts w:cs="Times New Roman"/>
          <w:i/>
        </w:rPr>
        <w:t xml:space="preserve"> and the ASCO guideline </w:t>
      </w:r>
      <w:r w:rsidRPr="007B73D7">
        <w:rPr>
          <w:rFonts w:cs="Times New Roman"/>
          <w:i/>
        </w:rPr>
        <w:fldChar w:fldCharType="begin"/>
      </w:r>
      <w:r w:rsidR="00822F5E">
        <w:rPr>
          <w:rFonts w:cs="Times New Roman"/>
          <w:i/>
        </w:rPr>
        <w:instrText xml:space="preserve"> ADDIN EN.CITE &lt;EndNote&gt;&lt;Cite&gt;&lt;Author&gt;Einhaus&lt;/Author&gt;&lt;Year&gt;2016&lt;/Year&gt;&lt;RecNum&gt;1&lt;/RecNum&gt;&lt;DisplayText&gt;(1)&lt;/DisplayText&gt;&lt;record&gt;&lt;rec-number&gt;1&lt;/rec-number&gt;&lt;foreign-keys&gt;&lt;key app="EN" db-id="d5dfzaz06vsf0ketf5qxf95q9ertffrp0rxs" timestamp="1511815434"&gt;1&lt;/key&gt;&lt;/foreign-keys&gt;&lt;ref-type name="Web Page"&gt;12&lt;/ref-type&gt;&lt;contributors&gt;&lt;authors&gt;&lt;author&gt;K. Einhaus&lt;/author&gt;&lt;/authors&gt;&lt;/contributors&gt;&lt;titles&gt;&lt;title&gt;ASCO Guidelines Methodology Manual&lt;/title&gt;&lt;/titles&gt;&lt;volume&gt;2016&lt;/volume&gt;&lt;number&gt;Jul 29&lt;/number&gt;&lt;dates&gt;&lt;year&gt;2016&lt;/year&gt;&lt;/dates&gt;&lt;urls&gt;&lt;related-urls&gt;&lt;url&gt;https://pilotguidelines.atlassian.net/wiki/display/GW/Guideline+Development+Process#GuidelineDevelopmentProcess-Quality&lt;/url&gt;&lt;/related-urls&gt;&lt;/urls&gt;&lt;/record&gt;&lt;/Cite&gt;&lt;/EndNote&gt;</w:instrText>
      </w:r>
      <w:r w:rsidRPr="007B73D7">
        <w:rPr>
          <w:rFonts w:cs="Times New Roman"/>
          <w:i/>
        </w:rPr>
        <w:fldChar w:fldCharType="separate"/>
      </w:r>
      <w:r w:rsidRPr="007B73D7">
        <w:rPr>
          <w:rFonts w:cs="Times New Roman"/>
          <w:i/>
          <w:noProof/>
        </w:rPr>
        <w:t>(</w:t>
      </w:r>
      <w:hyperlink w:anchor="_ENREF_1" w:tooltip="Einhaus, 2016 #1" w:history="1">
        <w:r w:rsidR="00822F5E" w:rsidRPr="007B73D7">
          <w:rPr>
            <w:rFonts w:cs="Times New Roman"/>
            <w:i/>
            <w:noProof/>
          </w:rPr>
          <w:t>1</w:t>
        </w:r>
      </w:hyperlink>
      <w:r w:rsidRPr="007B73D7">
        <w:rPr>
          <w:rFonts w:cs="Times New Roman"/>
          <w:i/>
          <w:noProof/>
        </w:rPr>
        <w:t>)</w:t>
      </w:r>
      <w:r w:rsidRPr="007B73D7">
        <w:rPr>
          <w:rFonts w:cs="Times New Roman"/>
          <w:i/>
        </w:rPr>
        <w:fldChar w:fldCharType="end"/>
      </w:r>
      <w:r w:rsidRPr="007B73D7">
        <w:rPr>
          <w:rFonts w:cs="Times New Roman"/>
          <w:i/>
        </w:rPr>
        <w:t xml:space="preserve">. </w:t>
      </w:r>
    </w:p>
    <w:p w14:paraId="17897311" w14:textId="77777777" w:rsidR="005F59C2" w:rsidRPr="007F5874" w:rsidRDefault="005F59C2" w:rsidP="005F59C2">
      <w:pPr>
        <w:rPr>
          <w:rFonts w:cs="Times New Roman"/>
          <w:b/>
        </w:rPr>
      </w:pPr>
    </w:p>
    <w:p w14:paraId="0F101976" w14:textId="658EB537" w:rsidR="005F59C2" w:rsidRPr="007F5874" w:rsidRDefault="005F59C2" w:rsidP="005F59C2">
      <w:pPr>
        <w:numPr>
          <w:ilvl w:val="0"/>
          <w:numId w:val="9"/>
        </w:numPr>
        <w:rPr>
          <w:rFonts w:cs="Times New Roman"/>
        </w:rPr>
      </w:pPr>
      <w:bookmarkStart w:id="8" w:name="_Hlk12437933"/>
      <w:r w:rsidRPr="00DB6A16">
        <w:rPr>
          <w:rFonts w:cs="Times New Roman"/>
          <w:b/>
        </w:rPr>
        <w:t>High:</w:t>
      </w:r>
      <w:r w:rsidRPr="007F5874">
        <w:rPr>
          <w:rFonts w:cs="Times New Roman"/>
        </w:rPr>
        <w:t xml:space="preserve"> Evidence includes consistent results from well-designed, well-conducted studies.</w:t>
      </w:r>
      <w:r>
        <w:rPr>
          <w:rFonts w:cs="Times New Roman"/>
        </w:rPr>
        <w:t xml:space="preserve"> “High confidence that the available evidence reflects the true magnitude </w:t>
      </w:r>
      <w:r>
        <w:rPr>
          <w:rFonts w:cs="Times New Roman"/>
        </w:rPr>
        <w:lastRenderedPageBreak/>
        <w:t>and direction of the net effect and further research is very unlikely to change the magnitude or direction of this net effect.”</w:t>
      </w:r>
    </w:p>
    <w:p w14:paraId="77AD85E0" w14:textId="77777777" w:rsidR="005F59C2" w:rsidRPr="007F5874" w:rsidRDefault="005F59C2" w:rsidP="005F59C2">
      <w:pPr>
        <w:numPr>
          <w:ilvl w:val="0"/>
          <w:numId w:val="9"/>
        </w:numPr>
        <w:rPr>
          <w:rFonts w:cs="Times New Roman"/>
        </w:rPr>
      </w:pPr>
      <w:r w:rsidRPr="00DB6A16">
        <w:rPr>
          <w:rFonts w:cs="Times New Roman"/>
          <w:b/>
        </w:rPr>
        <w:t>Moderate:</w:t>
      </w:r>
      <w:r w:rsidRPr="007F5874">
        <w:rPr>
          <w:rFonts w:cs="Times New Roman"/>
        </w:rPr>
        <w:t xml:space="preserve"> Evidence is sufficient to determine effects, but the strength of the evidence is limited by the number, quality, or consistency of the individual studies; generalizability to routine practice; or indirect nature of the evidence.</w:t>
      </w:r>
      <w:r>
        <w:rPr>
          <w:rFonts w:cs="Times New Roman"/>
        </w:rPr>
        <w:t xml:space="preserve"> “Further research is unlikely to alter the direction of the net </w:t>
      </w:r>
      <w:proofErr w:type="gramStart"/>
      <w:r>
        <w:rPr>
          <w:rFonts w:cs="Times New Roman"/>
        </w:rPr>
        <w:t>effect,</w:t>
      </w:r>
      <w:proofErr w:type="gramEnd"/>
      <w:r>
        <w:rPr>
          <w:rFonts w:cs="Times New Roman"/>
        </w:rPr>
        <w:t xml:space="preserve"> however it might alter the magnitude of the net effect.”</w:t>
      </w:r>
    </w:p>
    <w:p w14:paraId="56F5E38D" w14:textId="77777777" w:rsidR="005F59C2" w:rsidRPr="007F5874" w:rsidRDefault="005F59C2" w:rsidP="005F59C2">
      <w:pPr>
        <w:numPr>
          <w:ilvl w:val="0"/>
          <w:numId w:val="9"/>
        </w:numPr>
        <w:rPr>
          <w:rFonts w:cs="Times New Roman"/>
        </w:rPr>
      </w:pPr>
      <w:r w:rsidRPr="00DB6A16">
        <w:rPr>
          <w:rFonts w:cs="Times New Roman"/>
          <w:b/>
        </w:rPr>
        <w:t>Weak:</w:t>
      </w:r>
      <w:r w:rsidRPr="007F5874">
        <w:rPr>
          <w:rFonts w:cs="Times New Roman"/>
        </w:rPr>
        <w:t xml:space="preserve"> Evidence is insufficient to assess the effects on health outcomes because of limited number or power of studies, important flaws in their design or conduct, gaps in the chain of evidence, or lack of information</w:t>
      </w:r>
      <w:r>
        <w:rPr>
          <w:rFonts w:cs="Times New Roman"/>
        </w:rPr>
        <w:t xml:space="preserve">. “Further research may change the magnitude and/or direction of the net effect.” </w:t>
      </w:r>
    </w:p>
    <w:bookmarkEnd w:id="8"/>
    <w:p w14:paraId="4A54B020" w14:textId="77777777" w:rsidR="00A121F9" w:rsidRDefault="00A121F9" w:rsidP="00A121F9">
      <w:pPr>
        <w:rPr>
          <w:rFonts w:cs="Times New Roman"/>
          <w:b/>
        </w:rPr>
      </w:pPr>
    </w:p>
    <w:p w14:paraId="2DF595FD" w14:textId="77777777" w:rsidR="008A6760" w:rsidRPr="007F5874" w:rsidRDefault="008A6760" w:rsidP="00A121F9">
      <w:pPr>
        <w:rPr>
          <w:rFonts w:cs="Times New Roman"/>
          <w:b/>
        </w:rPr>
      </w:pPr>
    </w:p>
    <w:p w14:paraId="4187E6FF"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15B5A78C" w14:textId="77777777" w:rsidR="00562C70" w:rsidRPr="007F5874" w:rsidRDefault="00562C70" w:rsidP="007704E5">
      <w:pPr>
        <w:rPr>
          <w:rFonts w:cs="Times New Roman"/>
        </w:rPr>
      </w:pPr>
    </w:p>
    <w:p w14:paraId="74E95057" w14:textId="77777777" w:rsidR="00567073" w:rsidRPr="007F5874" w:rsidRDefault="00562C70" w:rsidP="007704E5">
      <w:pPr>
        <w:rPr>
          <w:rFonts w:cs="Times New Roman"/>
        </w:rPr>
      </w:pPr>
      <w:r w:rsidRPr="007F5874">
        <w:rPr>
          <w:rFonts w:cs="Times New Roman"/>
          <w:noProof/>
        </w:rPr>
        <w:drawing>
          <wp:inline distT="0" distB="0" distL="0" distR="0" wp14:anchorId="60D46F94" wp14:editId="50C97DF8">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8"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35BC196F" w14:textId="77777777" w:rsidR="00F70CAD" w:rsidRPr="007F5874" w:rsidRDefault="00F70CAD" w:rsidP="007704E5">
      <w:pPr>
        <w:rPr>
          <w:rFonts w:cs="Times New Roman"/>
        </w:rPr>
      </w:pPr>
    </w:p>
    <w:p w14:paraId="0C288CAC" w14:textId="77777777" w:rsidR="00F70CAD" w:rsidRPr="007F5874" w:rsidRDefault="00F70CAD" w:rsidP="007704E5">
      <w:pPr>
        <w:rPr>
          <w:rFonts w:cs="Times New Roman"/>
          <w:b/>
        </w:rPr>
      </w:pPr>
    </w:p>
    <w:p w14:paraId="0AA951B1" w14:textId="77777777" w:rsidR="000604AF" w:rsidRPr="007F5874" w:rsidRDefault="00A97B0D" w:rsidP="00D81673">
      <w:pPr>
        <w:pStyle w:val="Heading2"/>
        <w:ind w:left="0" w:firstLine="0"/>
      </w:pPr>
      <w:bookmarkStart w:id="9" w:name="_Toc13059449"/>
      <w:r w:rsidRPr="007F5874">
        <w:t>Finalize a</w:t>
      </w:r>
      <w:r w:rsidR="000604AF" w:rsidRPr="007F5874">
        <w:t xml:space="preserve"> draft of Table 2</w:t>
      </w:r>
      <w:bookmarkEnd w:id="9"/>
    </w:p>
    <w:p w14:paraId="1CAFB76A" w14:textId="77777777" w:rsidR="008217E7" w:rsidRPr="007F5874" w:rsidRDefault="008217E7" w:rsidP="00D93CC8"/>
    <w:p w14:paraId="1C1C1542"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w:t>
      </w:r>
      <w:r w:rsidRPr="007F5874">
        <w:lastRenderedPageBreak/>
        <w:t xml:space="preserve">agents (http://aidsinfo.nih.gov/contentfiles/AdultandAdolescentGL.pdf). Therapeutic recommendations are graded as: </w:t>
      </w:r>
    </w:p>
    <w:p w14:paraId="7C683DD8" w14:textId="77777777" w:rsidR="00680F99" w:rsidRDefault="00680F99" w:rsidP="00680F99">
      <w:pPr>
        <w:spacing w:line="360" w:lineRule="auto"/>
        <w:rPr>
          <w:rFonts w:cs="Times New Roman"/>
          <w:b/>
          <w:color w:val="000000" w:themeColor="text1"/>
        </w:rPr>
      </w:pPr>
    </w:p>
    <w:p w14:paraId="46198280"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5BB04C3A"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15694436" w14:textId="77777777" w:rsidR="00680F99" w:rsidRDefault="00680F99" w:rsidP="00680F99">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026A77C1" w14:textId="77777777" w:rsidR="00680F99" w:rsidRPr="007F5874" w:rsidRDefault="00680F99" w:rsidP="00680F99">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980DA10" w14:textId="77777777" w:rsidR="00AF04FB" w:rsidRPr="007F5874" w:rsidRDefault="00AF04FB" w:rsidP="00DB1924">
      <w:pPr>
        <w:ind w:left="720"/>
      </w:pPr>
    </w:p>
    <w:p w14:paraId="6F3A856F"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331DDA34" w14:textId="77777777" w:rsidR="00535014" w:rsidRPr="007F5874" w:rsidRDefault="00535014" w:rsidP="00DB1924"/>
    <w:p w14:paraId="1B48BF81" w14:textId="77777777" w:rsidR="00535014" w:rsidRDefault="00535014" w:rsidP="00DB1924">
      <w:r w:rsidRPr="007F5874">
        <w:t>The phenotype, diplotype, drug, and gene terms in Table 2 should use standardized terminology that facilitates machine-readability and that can be repurposed for</w:t>
      </w:r>
      <w:r w:rsidR="0093098D">
        <w:t xml:space="preserve"> other guidelines when possible</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50E77DB2" w14:textId="77777777" w:rsidR="005A503A" w:rsidRDefault="005A503A" w:rsidP="00DB1924"/>
    <w:p w14:paraId="5BCDFA97" w14:textId="77777777" w:rsidR="002C5B6F" w:rsidRPr="007F5874" w:rsidRDefault="002C5B6F" w:rsidP="00E0292C"/>
    <w:p w14:paraId="08136666" w14:textId="77777777" w:rsidR="007704E5" w:rsidRDefault="007704E5" w:rsidP="007704E5">
      <w:pPr>
        <w:rPr>
          <w:rFonts w:cs="Times New Roman"/>
        </w:rPr>
      </w:pPr>
      <w:r w:rsidRPr="007F5874">
        <w:rPr>
          <w:rFonts w:cs="Times New Roman"/>
        </w:rPr>
        <w:t>Examples of Table 2:</w:t>
      </w:r>
    </w:p>
    <w:p w14:paraId="6B4C0DFA" w14:textId="77777777" w:rsidR="005E03F3" w:rsidRDefault="005E03F3" w:rsidP="007704E5">
      <w:pPr>
        <w:rPr>
          <w:rFonts w:cs="Times New Roman"/>
        </w:rPr>
      </w:pPr>
    </w:p>
    <w:p w14:paraId="5FC10F21" w14:textId="77777777" w:rsidR="005E03F3" w:rsidRPr="007F5874" w:rsidRDefault="005E03F3" w:rsidP="007704E5">
      <w:pPr>
        <w:rPr>
          <w:rFonts w:cs="Times New Roman"/>
        </w:rPr>
      </w:pPr>
    </w:p>
    <w:p w14:paraId="0C6E40A1" w14:textId="77777777" w:rsidR="00F36E16" w:rsidRPr="007F5874" w:rsidRDefault="005E03F3" w:rsidP="007704E5">
      <w:pPr>
        <w:rPr>
          <w:rFonts w:cs="Times New Roman"/>
        </w:rPr>
      </w:pPr>
      <w:r w:rsidRPr="007F5874">
        <w:rPr>
          <w:rFonts w:cs="Times New Roman"/>
          <w:noProof/>
        </w:rPr>
        <w:drawing>
          <wp:inline distT="0" distB="0" distL="0" distR="0" wp14:anchorId="5CF280F0" wp14:editId="5E495BF7">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9"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7CB21995"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3F59F855" wp14:editId="7998BA67">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578C52B4" w14:textId="77777777" w:rsidR="007704E5" w:rsidRPr="007F5874" w:rsidRDefault="007704E5" w:rsidP="007704E5">
      <w:pPr>
        <w:rPr>
          <w:rFonts w:cs="Times New Roman"/>
        </w:rPr>
      </w:pPr>
    </w:p>
    <w:p w14:paraId="3D4D9AAF" w14:textId="77777777"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6533F680" w14:textId="77777777" w:rsidR="00F70CAD" w:rsidRPr="007F5874" w:rsidRDefault="00F70CAD" w:rsidP="007704E5">
      <w:pPr>
        <w:rPr>
          <w:rFonts w:cs="Times New Roman"/>
        </w:rPr>
      </w:pPr>
    </w:p>
    <w:p w14:paraId="15847EEB" w14:textId="77777777" w:rsidR="00A75544" w:rsidRPr="007F5874" w:rsidRDefault="00F36E16" w:rsidP="00D81673">
      <w:pPr>
        <w:pStyle w:val="Heading2"/>
        <w:ind w:left="0" w:firstLine="0"/>
      </w:pPr>
      <w:bookmarkStart w:id="10" w:name="_Toc369873774"/>
      <w:bookmarkStart w:id="11" w:name="_Toc369873910"/>
      <w:bookmarkStart w:id="12" w:name="_Toc369873775"/>
      <w:bookmarkStart w:id="13" w:name="_Toc369873911"/>
      <w:bookmarkStart w:id="14" w:name="_Toc369873776"/>
      <w:bookmarkStart w:id="15" w:name="_Toc369873912"/>
      <w:bookmarkStart w:id="16" w:name="_Toc369873777"/>
      <w:bookmarkStart w:id="17" w:name="_Toc369873913"/>
      <w:bookmarkStart w:id="18" w:name="_Toc13059450"/>
      <w:bookmarkEnd w:id="10"/>
      <w:bookmarkEnd w:id="11"/>
      <w:bookmarkEnd w:id="12"/>
      <w:bookmarkEnd w:id="13"/>
      <w:bookmarkEnd w:id="14"/>
      <w:bookmarkEnd w:id="15"/>
      <w:bookmarkEnd w:id="16"/>
      <w:bookmarkEnd w:id="17"/>
      <w:r w:rsidRPr="007F5874">
        <w:t xml:space="preserve">Identify available genetic test and </w:t>
      </w:r>
      <w:r w:rsidR="00A75544" w:rsidRPr="007F5874">
        <w:t xml:space="preserve">variants </w:t>
      </w:r>
      <w:r w:rsidR="009D67F8" w:rsidRPr="007F5874">
        <w:t>tested</w:t>
      </w:r>
      <w:r w:rsidRPr="007F5874">
        <w:t>.</w:t>
      </w:r>
      <w:bookmarkEnd w:id="18"/>
    </w:p>
    <w:p w14:paraId="5932F5CE" w14:textId="77777777" w:rsidR="00396422" w:rsidRPr="007F5874" w:rsidRDefault="00396422" w:rsidP="00396422">
      <w:pPr>
        <w:rPr>
          <w:rFonts w:cs="Times New Roman"/>
        </w:rPr>
      </w:pPr>
    </w:p>
    <w:p w14:paraId="130CCDC2" w14:textId="77777777"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21"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6D3E50DC" w14:textId="77777777" w:rsidR="00A75544" w:rsidRPr="007F5874" w:rsidRDefault="00A75544" w:rsidP="00A75544">
      <w:pPr>
        <w:rPr>
          <w:rFonts w:cs="Times New Roman"/>
        </w:rPr>
      </w:pPr>
    </w:p>
    <w:p w14:paraId="0AB0E968"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3FF6FA65" w14:textId="77777777" w:rsidR="00A75544" w:rsidRPr="007F5874" w:rsidRDefault="00A75544" w:rsidP="00A75544">
      <w:pPr>
        <w:rPr>
          <w:rFonts w:cs="Times New Roman"/>
        </w:rPr>
      </w:pPr>
    </w:p>
    <w:p w14:paraId="00F0D6B4" w14:textId="77777777" w:rsidR="00A75544" w:rsidRPr="007F5874" w:rsidRDefault="00C819BF" w:rsidP="00A75544">
      <w:pPr>
        <w:rPr>
          <w:rFonts w:cs="Times New Roman"/>
        </w:rPr>
      </w:pPr>
      <w:r w:rsidRPr="007F5874">
        <w:rPr>
          <w:rFonts w:cs="Times New Roman"/>
        </w:rPr>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2695AFC" w14:textId="77777777" w:rsidR="00F70CAD" w:rsidRPr="007F5874" w:rsidRDefault="00F70CAD" w:rsidP="00A75544">
      <w:pPr>
        <w:rPr>
          <w:rFonts w:cs="Times New Roman"/>
        </w:rPr>
      </w:pPr>
    </w:p>
    <w:p w14:paraId="0ED433BE" w14:textId="77777777" w:rsidR="00BD22A2" w:rsidRPr="007F5874" w:rsidRDefault="00F36E16" w:rsidP="00D81673">
      <w:pPr>
        <w:pStyle w:val="Heading2"/>
        <w:ind w:left="0" w:firstLine="0"/>
      </w:pPr>
      <w:bookmarkStart w:id="19" w:name="_Toc13059451"/>
      <w:r w:rsidRPr="007F5874">
        <w:t xml:space="preserve">Draft a </w:t>
      </w:r>
      <w:r w:rsidR="00BD22A2" w:rsidRPr="007F5874">
        <w:t xml:space="preserve">Table 1 </w:t>
      </w:r>
      <w:r w:rsidRPr="007F5874">
        <w:t>(</w:t>
      </w:r>
      <w:r w:rsidR="00BD22A2" w:rsidRPr="007F5874">
        <w:t>genotype to phenotype correlation</w:t>
      </w:r>
      <w:r w:rsidRPr="007F5874">
        <w:t>)</w:t>
      </w:r>
      <w:bookmarkEnd w:id="19"/>
    </w:p>
    <w:p w14:paraId="7DD1B5DB" w14:textId="77777777" w:rsidR="007E309C" w:rsidRPr="007F5874" w:rsidRDefault="007E309C" w:rsidP="00B63EA8"/>
    <w:p w14:paraId="713A9318" w14:textId="77777777"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6F2A03F7" w14:textId="77777777" w:rsidR="00736CB7" w:rsidRPr="007F5874" w:rsidRDefault="00736CB7" w:rsidP="00A75544">
      <w:pPr>
        <w:rPr>
          <w:rFonts w:cs="Times New Roman"/>
        </w:rPr>
      </w:pPr>
    </w:p>
    <w:p w14:paraId="39E70B80" w14:textId="77777777"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6FB0EF36" w14:textId="77777777" w:rsidR="00BD22A2" w:rsidRPr="007F5874" w:rsidRDefault="00BD22A2">
      <w:pPr>
        <w:rPr>
          <w:rFonts w:cs="Times New Roman"/>
        </w:rPr>
      </w:pPr>
    </w:p>
    <w:p w14:paraId="71D5CFEB" w14:textId="77777777" w:rsidR="00B96B2C" w:rsidRPr="007F5874" w:rsidRDefault="00D841FF" w:rsidP="00D81673">
      <w:pPr>
        <w:pStyle w:val="Heading2"/>
        <w:ind w:left="0" w:firstLine="0"/>
        <w:rPr>
          <w:rFonts w:cs="Times New Roman"/>
        </w:rPr>
      </w:pPr>
      <w:bookmarkStart w:id="20" w:name="_Toc13059452"/>
      <w:r w:rsidRPr="007F5874">
        <w:rPr>
          <w:rFonts w:cs="Times New Roman"/>
        </w:rPr>
        <w:t>Write manuscript t</w:t>
      </w:r>
      <w:r w:rsidR="00B96B2C" w:rsidRPr="007F5874">
        <w:rPr>
          <w:rFonts w:cs="Times New Roman"/>
        </w:rPr>
        <w:t>ext</w:t>
      </w:r>
      <w:bookmarkEnd w:id="20"/>
    </w:p>
    <w:p w14:paraId="32965A64" w14:textId="77777777" w:rsidR="002C5B6F" w:rsidRPr="007F5874" w:rsidRDefault="002C5B6F" w:rsidP="00E0292C"/>
    <w:p w14:paraId="4D167715"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71E348C7" w14:textId="77777777" w:rsidR="00F36E16" w:rsidRPr="007F5874" w:rsidRDefault="00F36E16">
      <w:pPr>
        <w:rPr>
          <w:b/>
        </w:rPr>
      </w:pPr>
    </w:p>
    <w:p w14:paraId="376BE691" w14:textId="77777777" w:rsidR="00B96B2C" w:rsidRPr="007F5874" w:rsidRDefault="00B96B2C" w:rsidP="00F86067">
      <w:pPr>
        <w:ind w:left="720"/>
        <w:rPr>
          <w:rFonts w:cs="Times New Roman"/>
          <w:b/>
        </w:rPr>
      </w:pPr>
      <w:r w:rsidRPr="007F5874">
        <w:rPr>
          <w:rFonts w:cs="Times New Roman"/>
          <w:b/>
        </w:rPr>
        <w:t>Gene:</w:t>
      </w:r>
    </w:p>
    <w:p w14:paraId="41790E49" w14:textId="77777777" w:rsidR="00F36E16" w:rsidRPr="007F5874" w:rsidRDefault="00F36E16" w:rsidP="00F86067">
      <w:pPr>
        <w:ind w:left="720"/>
        <w:rPr>
          <w:rFonts w:cs="Times New Roman"/>
          <w:b/>
        </w:rPr>
      </w:pPr>
    </w:p>
    <w:p w14:paraId="5C25D68B"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32A46C09" w14:textId="77777777" w:rsidR="002B25FB" w:rsidRPr="007F5874" w:rsidRDefault="002B25FB" w:rsidP="00E35CE3">
      <w:pPr>
        <w:ind w:left="720"/>
        <w:rPr>
          <w:rFonts w:cs="Times New Roman"/>
        </w:rPr>
      </w:pPr>
    </w:p>
    <w:p w14:paraId="68D1716E"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5F972D6" w14:textId="77777777" w:rsidR="002B25FB" w:rsidRPr="007F5874" w:rsidRDefault="002B25FB" w:rsidP="00E35CE3">
      <w:pPr>
        <w:ind w:left="720"/>
        <w:rPr>
          <w:rFonts w:cs="Times New Roman"/>
        </w:rPr>
      </w:pPr>
    </w:p>
    <w:p w14:paraId="0DB74879"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4B63FD6F" w14:textId="77777777" w:rsidR="002B25FB" w:rsidRPr="007F5874" w:rsidRDefault="002B25FB" w:rsidP="00E35CE3">
      <w:pPr>
        <w:ind w:firstLine="720"/>
        <w:rPr>
          <w:rFonts w:cs="Times New Roman"/>
        </w:rPr>
      </w:pPr>
    </w:p>
    <w:p w14:paraId="55FE5CFF" w14:textId="77777777"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1A427C07" w14:textId="77777777" w:rsidR="002B25FB" w:rsidRPr="007F5874" w:rsidRDefault="002B25FB" w:rsidP="00E35CE3">
      <w:pPr>
        <w:ind w:left="720"/>
        <w:rPr>
          <w:rFonts w:cs="Times New Roman"/>
        </w:rPr>
      </w:pPr>
    </w:p>
    <w:p w14:paraId="039CE6C6"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354DDF52" w14:textId="77777777" w:rsidR="004C03CA" w:rsidRPr="007F5874" w:rsidRDefault="004C03CA" w:rsidP="004C03CA">
      <w:pPr>
        <w:ind w:left="720" w:hanging="720"/>
        <w:rPr>
          <w:rFonts w:cs="Times New Roman"/>
        </w:rPr>
      </w:pPr>
    </w:p>
    <w:p w14:paraId="077D18C5" w14:textId="77777777" w:rsidR="00043683" w:rsidRPr="007F5874" w:rsidRDefault="00043683" w:rsidP="00F86067">
      <w:pPr>
        <w:ind w:left="720"/>
        <w:rPr>
          <w:b/>
        </w:rPr>
      </w:pPr>
      <w:r w:rsidRPr="007F5874">
        <w:rPr>
          <w:b/>
        </w:rPr>
        <w:t>Drug</w:t>
      </w:r>
      <w:r w:rsidR="00B96B2C" w:rsidRPr="007F5874">
        <w:rPr>
          <w:b/>
        </w:rPr>
        <w:t>:</w:t>
      </w:r>
    </w:p>
    <w:p w14:paraId="652BF815" w14:textId="77777777" w:rsidR="007E3FC7" w:rsidRPr="007F5874" w:rsidRDefault="007E3FC7">
      <w:pPr>
        <w:rPr>
          <w:rFonts w:cs="Times New Roman"/>
          <w:b/>
        </w:rPr>
      </w:pPr>
    </w:p>
    <w:p w14:paraId="62D93882" w14:textId="77777777"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4259CF3C" w14:textId="77777777" w:rsidR="007E3FC7" w:rsidRPr="007F5874" w:rsidRDefault="007E3FC7" w:rsidP="00E35CE3">
      <w:pPr>
        <w:ind w:left="720"/>
        <w:rPr>
          <w:rFonts w:cs="Times New Roman"/>
        </w:rPr>
      </w:pPr>
    </w:p>
    <w:p w14:paraId="0A6FFBE1"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051E9A5E" w14:textId="77777777" w:rsidR="007E3FC7" w:rsidRPr="007F5874" w:rsidRDefault="007E3FC7" w:rsidP="00E35CE3">
      <w:pPr>
        <w:ind w:left="720"/>
        <w:rPr>
          <w:rFonts w:cs="Times New Roman"/>
        </w:rPr>
      </w:pPr>
    </w:p>
    <w:p w14:paraId="0214C166" w14:textId="77777777"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All CPIC guidelines (and updates of existing guidelines</w:t>
      </w:r>
      <w:r w:rsidR="00736CB7" w:rsidRPr="007F5874">
        <w:rPr>
          <w:rFonts w:cs="Times New Roman"/>
          <w:szCs w:val="22"/>
        </w:rPr>
        <w:t>)</w:t>
      </w:r>
      <w:r w:rsidR="00DE4F77" w:rsidRPr="007F5874">
        <w:rPr>
          <w:rFonts w:cs="Times New Roman"/>
          <w:szCs w:val="22"/>
        </w:rPr>
        <w:t xml:space="preserve"> should include pediatric </w:t>
      </w:r>
      <w:r w:rsidR="00DE4F77" w:rsidRPr="007F5874">
        <w:rPr>
          <w:rFonts w:cs="Times New Roman"/>
          <w:szCs w:val="22"/>
        </w:rPr>
        <w:lastRenderedPageBreak/>
        <w:t xml:space="preserve">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714C10D6" w14:textId="77777777" w:rsidR="0061474F" w:rsidRPr="007F5874" w:rsidRDefault="0061474F" w:rsidP="00E35CE3">
      <w:pPr>
        <w:ind w:left="720"/>
        <w:rPr>
          <w:rFonts w:cs="Times New Roman"/>
        </w:rPr>
      </w:pPr>
    </w:p>
    <w:p w14:paraId="0E2ED716"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35FE1C6B" w14:textId="77777777" w:rsidR="0061474F" w:rsidRPr="007F5874" w:rsidRDefault="0061474F" w:rsidP="00E35CE3">
      <w:pPr>
        <w:ind w:left="720"/>
        <w:rPr>
          <w:rFonts w:cs="Times New Roman"/>
        </w:rPr>
      </w:pPr>
    </w:p>
    <w:p w14:paraId="7094FBE7"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1E90AE41" w14:textId="77777777" w:rsidR="00ED788D" w:rsidRPr="007F5874" w:rsidRDefault="00ED788D">
      <w:pPr>
        <w:rPr>
          <w:rFonts w:cs="Times New Roman"/>
        </w:rPr>
      </w:pPr>
    </w:p>
    <w:p w14:paraId="2F79A54B" w14:textId="77777777" w:rsidR="00ED788D" w:rsidRPr="007F5874" w:rsidRDefault="00ED788D" w:rsidP="00DB1924">
      <w:pPr>
        <w:ind w:left="720"/>
        <w:rPr>
          <w:b/>
        </w:rPr>
      </w:pPr>
      <w:r w:rsidRPr="007F5874">
        <w:rPr>
          <w:b/>
        </w:rPr>
        <w:t>Potential benefits and risks for the patient</w:t>
      </w:r>
    </w:p>
    <w:p w14:paraId="68C6F221" w14:textId="77777777" w:rsidR="007E309C" w:rsidRPr="007F5874" w:rsidRDefault="007E309C" w:rsidP="00B63EA8"/>
    <w:p w14:paraId="3343CB8F" w14:textId="78A2A5B6"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g.</w:t>
      </w:r>
      <w:r w:rsidR="001443DB">
        <w:rPr>
          <w:rFonts w:cs="Times New Roman"/>
        </w:rPr>
        <w:t>,</w:t>
      </w:r>
      <w:r w:rsidR="005E321D" w:rsidRPr="007F5874">
        <w:rPr>
          <w:rFonts w:cs="Times New Roman"/>
        </w:rPr>
        <w:t xml:space="preserve">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4AE4F22F" w14:textId="77777777" w:rsidR="003C1740" w:rsidRPr="007F5874" w:rsidRDefault="003C1740">
      <w:pPr>
        <w:rPr>
          <w:rFonts w:cs="Times New Roman"/>
        </w:rPr>
      </w:pPr>
    </w:p>
    <w:p w14:paraId="4C2BC89E"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46BC438B" w14:textId="77777777" w:rsidR="00F36E16" w:rsidRPr="007F5874" w:rsidRDefault="00F36E16" w:rsidP="00F36E16"/>
    <w:p w14:paraId="3F7805C9"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7A82C523" w14:textId="77777777" w:rsidR="00043683" w:rsidRPr="007F5874" w:rsidRDefault="00043683">
      <w:pPr>
        <w:rPr>
          <w:rFonts w:cs="Times New Roman"/>
        </w:rPr>
      </w:pPr>
    </w:p>
    <w:p w14:paraId="05D1B6BF" w14:textId="77777777" w:rsidR="00043683" w:rsidRPr="007F5874" w:rsidRDefault="002B4778" w:rsidP="00D81673">
      <w:pPr>
        <w:pStyle w:val="Heading2"/>
        <w:ind w:left="0" w:firstLine="0"/>
        <w:rPr>
          <w:rFonts w:cs="Times New Roman"/>
        </w:rPr>
      </w:pPr>
      <w:bookmarkStart w:id="21" w:name="_Toc13059453"/>
      <w:r w:rsidRPr="007F5874">
        <w:rPr>
          <w:rStyle w:val="Heading2Char"/>
          <w:b/>
        </w:rPr>
        <w:t>Construct s</w:t>
      </w:r>
      <w:r w:rsidR="00A86260" w:rsidRPr="007F5874">
        <w:rPr>
          <w:rStyle w:val="Heading2Char"/>
          <w:b/>
        </w:rPr>
        <w:t xml:space="preserve">upplemental data tables </w:t>
      </w:r>
      <w:r w:rsidR="00C471B5">
        <w:rPr>
          <w:rStyle w:val="Heading2Char"/>
          <w:b/>
        </w:rPr>
        <w:t>and gene-specific information tables</w:t>
      </w:r>
      <w:bookmarkEnd w:id="21"/>
      <w:r w:rsidR="00C471B5">
        <w:rPr>
          <w:rStyle w:val="Heading2Char"/>
          <w:b/>
        </w:rPr>
        <w:t xml:space="preserve"> </w:t>
      </w:r>
    </w:p>
    <w:p w14:paraId="595C6792" w14:textId="77777777" w:rsidR="007E309C" w:rsidRPr="007F5874" w:rsidRDefault="007E309C" w:rsidP="00B63EA8"/>
    <w:p w14:paraId="48FE2FFE" w14:textId="77777777"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w:t>
      </w:r>
      <w:proofErr w:type="spellStart"/>
      <w:r w:rsidRPr="007F5874">
        <w:rPr>
          <w:rFonts w:cs="Times New Roman"/>
        </w:rPr>
        <w:t>HuG</w:t>
      </w:r>
      <w:r w:rsidR="003256C6" w:rsidRPr="007F5874">
        <w:rPr>
          <w:rFonts w:cs="Times New Roman"/>
        </w:rPr>
        <w:t>E</w:t>
      </w:r>
      <w:proofErr w:type="spellEnd"/>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5A8408F3" w14:textId="77777777" w:rsidR="004143FE" w:rsidRPr="007F5874" w:rsidRDefault="004143FE">
      <w:pPr>
        <w:rPr>
          <w:rFonts w:cs="Times New Roman"/>
        </w:rPr>
      </w:pPr>
    </w:p>
    <w:p w14:paraId="16583EC7" w14:textId="0C56309B"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22" w:history="1">
        <w:r w:rsidR="00EB09EE" w:rsidRPr="007F5874">
          <w:rPr>
            <w:rStyle w:val="Hyperlink"/>
            <w:rFonts w:cs="Times New Roman"/>
          </w:rPr>
          <w:t>www.allelefrequencies.net</w:t>
        </w:r>
      </w:hyperlink>
      <w:r w:rsidR="00EB09EE" w:rsidRPr="007F5874">
        <w:rPr>
          <w:rFonts w:cs="Times New Roman"/>
        </w:rPr>
        <w:t xml:space="preserve">), Alfred, HapMap etc. </w:t>
      </w:r>
      <w:r w:rsidR="00D579D0">
        <w:rPr>
          <w:rFonts w:cs="Times New Roman"/>
        </w:rPr>
        <w:t>Stanford PGx Group</w:t>
      </w:r>
      <w:r w:rsidR="007E309C" w:rsidRPr="007F5874">
        <w:rPr>
          <w:rFonts w:cs="Times New Roman"/>
        </w:rPr>
        <w:t xml:space="preserve"> will help with these tables.</w:t>
      </w:r>
    </w:p>
    <w:p w14:paraId="526D0C5E" w14:textId="77777777" w:rsidR="00844025" w:rsidRDefault="00844025">
      <w:pPr>
        <w:rPr>
          <w:rFonts w:cs="Times New Roman"/>
        </w:rPr>
      </w:pPr>
    </w:p>
    <w:p w14:paraId="3C805534" w14:textId="77777777"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23"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guideline pages.</w:t>
      </w:r>
    </w:p>
    <w:p w14:paraId="22518AAD" w14:textId="77777777" w:rsidR="004143FE" w:rsidRPr="007F5874" w:rsidRDefault="004143FE">
      <w:pPr>
        <w:rPr>
          <w:rFonts w:cs="Times New Roman"/>
        </w:rPr>
      </w:pPr>
    </w:p>
    <w:p w14:paraId="2D41E012" w14:textId="77777777" w:rsidR="00BD22A2" w:rsidRPr="007F5874" w:rsidRDefault="00BD22A2">
      <w:pPr>
        <w:rPr>
          <w:rFonts w:cs="Times New Roman"/>
        </w:rPr>
      </w:pPr>
    </w:p>
    <w:p w14:paraId="533DE87B" w14:textId="77777777" w:rsidR="00440398" w:rsidRDefault="00440398" w:rsidP="00440398">
      <w:pPr>
        <w:pStyle w:val="Heading2"/>
      </w:pPr>
      <w:bookmarkStart w:id="22" w:name="_Toc13059454"/>
      <w:r>
        <w:t xml:space="preserve">Construct </w:t>
      </w:r>
      <w:r w:rsidR="003B7597">
        <w:t>Clinical Decision Support (CDS)</w:t>
      </w:r>
      <w:r>
        <w:t xml:space="preserve"> workflow figures and translation tables</w:t>
      </w:r>
      <w:bookmarkEnd w:id="22"/>
      <w:r w:rsidRPr="00440398">
        <w:t xml:space="preserve"> </w:t>
      </w:r>
    </w:p>
    <w:p w14:paraId="090C9DA4" w14:textId="77777777" w:rsidR="00402289"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Electronic Health Record (EH</w:t>
      </w:r>
      <w:r w:rsidR="00C860C9">
        <w:t>R</w:t>
      </w:r>
      <w:r>
        <w:t>)</w:t>
      </w:r>
      <w:r w:rsidRPr="003B7597">
        <w:t xml:space="preserve">-ready diplotype-based phenotypes and clinical recommendations, including specific drug prescribing actions and recommendations for the workflow of CDS in any EHR environment. </w:t>
      </w:r>
      <w:r w:rsidR="00F17093">
        <w:t xml:space="preserve">All </w:t>
      </w:r>
      <w:r w:rsidR="00BA0A18">
        <w:t xml:space="preserve">Tables and </w:t>
      </w:r>
      <w:r w:rsidR="00F17093">
        <w:t>F</w:t>
      </w:r>
      <w:r w:rsidR="00BA0A18">
        <w:t xml:space="preserve">igures </w:t>
      </w:r>
      <w:r w:rsidR="00F17093">
        <w:t xml:space="preserve">relevant for a guideline will be linked to the </w:t>
      </w:r>
      <w:r w:rsidR="00F17093">
        <w:lastRenderedPageBreak/>
        <w:t xml:space="preserve">guideline pages on cpicpgx.org. </w:t>
      </w:r>
      <w:r w:rsidR="00402289">
        <w:t xml:space="preserve">Where on-line tables </w:t>
      </w:r>
      <w:proofErr w:type="gramStart"/>
      <w:r w:rsidR="00402289">
        <w:t>replace</w:t>
      </w:r>
      <w:proofErr w:type="gramEnd"/>
      <w:r w:rsidR="00402289">
        <w:t xml:space="preserve"> or update tables published in the guideline, this will be clearly indicated on-line.</w:t>
      </w:r>
    </w:p>
    <w:p w14:paraId="44083FB8" w14:textId="77777777" w:rsidR="00402289" w:rsidRDefault="00402289" w:rsidP="003B7597"/>
    <w:p w14:paraId="0B8156F4" w14:textId="77777777" w:rsidR="003B7597" w:rsidRDefault="00F17093" w:rsidP="003B7597">
      <w:r>
        <w:t>Generally, these should include</w:t>
      </w:r>
      <w:r w:rsidR="00BA0A18">
        <w:t>:</w:t>
      </w:r>
    </w:p>
    <w:p w14:paraId="7BF191B3" w14:textId="77777777" w:rsidR="00402289" w:rsidRDefault="00402289" w:rsidP="00BA0A18"/>
    <w:p w14:paraId="7D6F6FAB" w14:textId="77777777" w:rsidR="00BA0A18" w:rsidRPr="00402289" w:rsidRDefault="00BA0A18" w:rsidP="00BA0A18">
      <w:r w:rsidRPr="00402289">
        <w:t xml:space="preserve">Gene-specific Information Tables </w:t>
      </w:r>
      <w:r w:rsidR="00402289" w:rsidRPr="00402289">
        <w:t xml:space="preserve">such as: </w:t>
      </w:r>
    </w:p>
    <w:p w14:paraId="371BE5D6" w14:textId="77777777" w:rsidR="00402289" w:rsidRDefault="00402289" w:rsidP="00BA0A18">
      <w:pPr>
        <w:pStyle w:val="ListParagraph"/>
        <w:numPr>
          <w:ilvl w:val="0"/>
          <w:numId w:val="33"/>
        </w:numPr>
      </w:pPr>
      <w:r>
        <w:t>Allele definition table</w:t>
      </w:r>
    </w:p>
    <w:p w14:paraId="444D202E" w14:textId="77777777" w:rsidR="00402289" w:rsidRDefault="00402289" w:rsidP="00BA0A18">
      <w:pPr>
        <w:pStyle w:val="ListParagraph"/>
        <w:numPr>
          <w:ilvl w:val="0"/>
          <w:numId w:val="33"/>
        </w:numPr>
      </w:pPr>
      <w:r>
        <w:t>Allele functionality tables</w:t>
      </w:r>
    </w:p>
    <w:p w14:paraId="5DD84B97" w14:textId="77777777" w:rsidR="00402289" w:rsidRDefault="00402289" w:rsidP="00BA0A18">
      <w:pPr>
        <w:pStyle w:val="ListParagraph"/>
        <w:numPr>
          <w:ilvl w:val="0"/>
          <w:numId w:val="33"/>
        </w:numPr>
      </w:pPr>
      <w:r>
        <w:t>Frequency tables</w:t>
      </w:r>
    </w:p>
    <w:p w14:paraId="4DD8D99D" w14:textId="77777777" w:rsidR="00402289" w:rsidRDefault="00402289" w:rsidP="00AF6775">
      <w:pPr>
        <w:pStyle w:val="ListParagraph"/>
        <w:numPr>
          <w:ilvl w:val="0"/>
          <w:numId w:val="33"/>
        </w:numPr>
      </w:pPr>
      <w:r>
        <w:t>D</w:t>
      </w:r>
      <w:r w:rsidR="00BA0A18">
        <w:t>iplotype-phenotype table</w:t>
      </w:r>
      <w:r>
        <w:t>s</w:t>
      </w:r>
    </w:p>
    <w:p w14:paraId="13213C3F" w14:textId="77777777" w:rsidR="00031199" w:rsidRDefault="00BA0A18" w:rsidP="00AF6775">
      <w:pPr>
        <w:pStyle w:val="ListParagraph"/>
        <w:numPr>
          <w:ilvl w:val="0"/>
          <w:numId w:val="33"/>
        </w:numPr>
      </w:pPr>
      <w:r>
        <w:t xml:space="preserve">Gene Resource Mapping table: </w:t>
      </w:r>
    </w:p>
    <w:p w14:paraId="7D10F90D" w14:textId="77777777" w:rsidR="00031199" w:rsidRDefault="00031199" w:rsidP="00031199">
      <w:pPr>
        <w:ind w:left="360"/>
      </w:pPr>
    </w:p>
    <w:p w14:paraId="0F2F6275" w14:textId="77777777" w:rsidR="00BA0A18" w:rsidRDefault="00402289" w:rsidP="00BA0A18">
      <w:r>
        <w:t>Others include:</w:t>
      </w:r>
    </w:p>
    <w:p w14:paraId="27E0EA5D" w14:textId="7777777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7A8BACAD" w14:textId="77777777" w:rsidR="00031199" w:rsidRDefault="00031199" w:rsidP="00BA0A18">
      <w:pPr>
        <w:pStyle w:val="ListParagraph"/>
        <w:numPr>
          <w:ilvl w:val="0"/>
          <w:numId w:val="34"/>
        </w:numPr>
      </w:pPr>
      <w:r>
        <w:t>Pre- and Post-Test Alerts</w:t>
      </w:r>
      <w:r w:rsidR="00B33D95">
        <w:t xml:space="preserve"> and Flow Chart: Provides example pre- and post-test CDS </w:t>
      </w:r>
    </w:p>
    <w:p w14:paraId="5B6C6035" w14:textId="77777777" w:rsidR="003B7597" w:rsidRDefault="003B7597" w:rsidP="003B7597"/>
    <w:p w14:paraId="67B3B8BA" w14:textId="77777777" w:rsidR="002B4778" w:rsidRPr="007F5874" w:rsidRDefault="002B4778" w:rsidP="002B4778"/>
    <w:p w14:paraId="74C2B1DA" w14:textId="77777777" w:rsidR="00043683" w:rsidRPr="00F339E7" w:rsidRDefault="00043683" w:rsidP="00A245C8">
      <w:pPr>
        <w:pStyle w:val="Heading2"/>
      </w:pPr>
      <w:bookmarkStart w:id="23" w:name="_Toc13059455"/>
      <w:r w:rsidRPr="00F339E7">
        <w:t>Populations</w:t>
      </w:r>
      <w:bookmarkEnd w:id="23"/>
      <w:r w:rsidRPr="00F339E7">
        <w:t xml:space="preserve"> </w:t>
      </w:r>
    </w:p>
    <w:p w14:paraId="6C2DE2D1" w14:textId="77777777" w:rsidR="007E309C" w:rsidRPr="007F5874" w:rsidRDefault="007E309C" w:rsidP="00B63EA8"/>
    <w:p w14:paraId="3763580C" w14:textId="77777777"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a particular group. </w:t>
      </w:r>
    </w:p>
    <w:p w14:paraId="7935A264" w14:textId="77777777" w:rsidR="00043683" w:rsidRPr="007F5874" w:rsidRDefault="00043683">
      <w:pPr>
        <w:rPr>
          <w:rFonts w:cs="Times New Roman"/>
        </w:rPr>
      </w:pPr>
    </w:p>
    <w:p w14:paraId="19A3D4F6" w14:textId="77777777"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drug relationship</w:t>
      </w:r>
      <w:r w:rsidR="00020189" w:rsidRPr="007F5874">
        <w:rPr>
          <w:rFonts w:cs="Times New Roman"/>
        </w:rPr>
        <w:t xml:space="preserve"> irrespective of race/ethnicity</w:t>
      </w:r>
      <w:r w:rsidRPr="007F5874">
        <w:rPr>
          <w:rFonts w:cs="Times New Roman"/>
        </w:rPr>
        <w:t xml:space="preserve">. </w:t>
      </w:r>
    </w:p>
    <w:p w14:paraId="3D2D93F2" w14:textId="77777777" w:rsidR="00020189" w:rsidRPr="007F5874" w:rsidRDefault="00020189">
      <w:pPr>
        <w:rPr>
          <w:rFonts w:cs="Times New Roman"/>
        </w:rPr>
      </w:pPr>
    </w:p>
    <w:p w14:paraId="189175B2"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For example</w:t>
      </w:r>
      <w:r w:rsidR="00AC0A8E">
        <w:rPr>
          <w:rFonts w:cs="Times New Roman"/>
        </w:rPr>
        <w:t>.</w:t>
      </w:r>
      <w:r w:rsidR="00020189" w:rsidRPr="007F5874">
        <w:rPr>
          <w:rFonts w:cs="Times New Roman"/>
        </w:rPr>
        <w:t xml:space="preserv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w:t>
      </w:r>
      <w:r w:rsidR="00AC0A8E">
        <w:rPr>
          <w:rFonts w:cs="Times New Roman"/>
        </w:rPr>
        <w:t>,</w:t>
      </w:r>
      <w:r w:rsidR="00020189" w:rsidRPr="007F5874">
        <w:rPr>
          <w:rFonts w:cs="Times New Roman"/>
        </w:rPr>
        <w:t xml:space="preserve">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1F5CEBC8" w14:textId="77777777" w:rsidR="00786D23" w:rsidRDefault="00786D23">
      <w:pPr>
        <w:rPr>
          <w:rFonts w:cs="Times New Roman"/>
        </w:rPr>
      </w:pPr>
    </w:p>
    <w:p w14:paraId="4ACE2163" w14:textId="77777777"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60E3A29D" w14:textId="77777777" w:rsidR="00593932" w:rsidRDefault="00593932" w:rsidP="002B4778">
      <w:pPr>
        <w:rPr>
          <w:b/>
          <w:i/>
        </w:rPr>
      </w:pPr>
    </w:p>
    <w:p w14:paraId="17E23E19" w14:textId="77777777" w:rsidR="00FE6840" w:rsidRPr="004F7DA5" w:rsidRDefault="00786D23" w:rsidP="00160DA6">
      <w:pPr>
        <w:pStyle w:val="Heading2"/>
        <w:numPr>
          <w:ilvl w:val="0"/>
          <w:numId w:val="0"/>
        </w:numPr>
        <w:ind w:left="360" w:hanging="360"/>
        <w:rPr>
          <w:rStyle w:val="Heading2Char3"/>
        </w:rPr>
      </w:pPr>
      <w:bookmarkStart w:id="24" w:name="_Toc13059456"/>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4"/>
    </w:p>
    <w:p w14:paraId="5D750F7C" w14:textId="77777777" w:rsidR="007E309C" w:rsidRPr="007F5874" w:rsidRDefault="007E309C" w:rsidP="00B63EA8"/>
    <w:p w14:paraId="6EDFF00B" w14:textId="77777777" w:rsidR="005954B3" w:rsidRDefault="002B4778">
      <w:pPr>
        <w:rPr>
          <w:rFonts w:cs="Times New Roman"/>
        </w:rPr>
      </w:pPr>
      <w:r w:rsidRPr="007F5874">
        <w:rPr>
          <w:rFonts w:cs="Times New Roman"/>
        </w:rPr>
        <w:lastRenderedPageBreak/>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052ACA5A" w14:textId="77777777" w:rsidR="00822F5E" w:rsidRPr="007F5874" w:rsidRDefault="00822F5E">
      <w:pPr>
        <w:rPr>
          <w:rFonts w:cs="Times New Roman"/>
        </w:rPr>
      </w:pPr>
    </w:p>
    <w:p w14:paraId="0EBAAC85" w14:textId="77777777" w:rsidR="00A3078C" w:rsidRPr="007F5874" w:rsidRDefault="00786D23" w:rsidP="004F7DA5">
      <w:pPr>
        <w:pStyle w:val="Heading2"/>
        <w:numPr>
          <w:ilvl w:val="0"/>
          <w:numId w:val="0"/>
        </w:numPr>
      </w:pPr>
      <w:bookmarkStart w:id="25" w:name="_Toc13059457"/>
      <w:r>
        <w:t xml:space="preserve">15. </w:t>
      </w:r>
      <w:r w:rsidR="00160DA6">
        <w:tab/>
      </w:r>
      <w:r w:rsidR="00A3078C" w:rsidRPr="007F5874">
        <w:t>Internal review</w:t>
      </w:r>
      <w:bookmarkEnd w:id="25"/>
    </w:p>
    <w:p w14:paraId="2A79133B" w14:textId="77777777" w:rsidR="007E309C" w:rsidRPr="007F5874" w:rsidRDefault="007E309C" w:rsidP="00B63EA8"/>
    <w:p w14:paraId="01E378A8" w14:textId="77777777" w:rsidR="00A3078C" w:rsidRPr="007F5874" w:rsidRDefault="00A3078C">
      <w:pPr>
        <w:rPr>
          <w:rFonts w:cs="Times New Roman"/>
        </w:rPr>
      </w:pPr>
      <w:r w:rsidRPr="007F5874">
        <w:rPr>
          <w:rFonts w:cs="Times New Roman"/>
        </w:rPr>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4"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0E987DAE" w14:textId="77777777" w:rsidR="002476D6" w:rsidRPr="007F5874" w:rsidRDefault="002476D6">
      <w:pPr>
        <w:rPr>
          <w:rFonts w:cs="Times New Roman"/>
        </w:rPr>
      </w:pPr>
    </w:p>
    <w:p w14:paraId="0B1A3BFB"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087BC668" w14:textId="77777777" w:rsidR="00A677EA" w:rsidRPr="007F5874" w:rsidRDefault="00A677EA">
      <w:pPr>
        <w:rPr>
          <w:rFonts w:cs="Times New Roman"/>
        </w:rPr>
      </w:pPr>
    </w:p>
    <w:p w14:paraId="0F773C6E" w14:textId="77777777" w:rsidR="00A677EA" w:rsidRPr="007F5874" w:rsidRDefault="00A677EA" w:rsidP="00160DA6">
      <w:pPr>
        <w:pStyle w:val="Heading2"/>
        <w:numPr>
          <w:ilvl w:val="0"/>
          <w:numId w:val="31"/>
        </w:numPr>
        <w:ind w:left="450" w:hanging="450"/>
      </w:pPr>
      <w:bookmarkStart w:id="26" w:name="_Toc13059458"/>
      <w:r w:rsidRPr="007F5874">
        <w:t>After publication</w:t>
      </w:r>
      <w:r w:rsidR="00093A3E" w:rsidRPr="007F5874">
        <w:t xml:space="preserve"> accepted</w:t>
      </w:r>
      <w:bookmarkEnd w:id="26"/>
    </w:p>
    <w:p w14:paraId="6C5607B9" w14:textId="77777777" w:rsidR="002B4778" w:rsidRPr="007F5874" w:rsidRDefault="002B4778" w:rsidP="00093A3E"/>
    <w:p w14:paraId="3B733427" w14:textId="77777777" w:rsidR="00664CF8" w:rsidRPr="007F5874" w:rsidRDefault="00664CF8" w:rsidP="00093A3E">
      <w:r w:rsidRPr="007F5874">
        <w:t>PubMed Central:</w:t>
      </w:r>
    </w:p>
    <w:p w14:paraId="4DA47E08"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3A83C5C9" w14:textId="77777777" w:rsidR="005C0233" w:rsidRPr="007F5874" w:rsidRDefault="00FC64F8" w:rsidP="00F86067">
      <w:pPr>
        <w:ind w:left="360"/>
      </w:pPr>
      <w:r w:rsidRPr="007F5874">
        <w:t xml:space="preserve">It is the responsibility of the CPIC </w:t>
      </w:r>
      <w:r w:rsidR="00C471B5">
        <w:t>director</w:t>
      </w:r>
      <w:r w:rsidRPr="007F5874">
        <w:t xml:space="preserve"> to notify the NIH of accepted CPIC guidelines</w:t>
      </w:r>
      <w:r w:rsidR="00746C70" w:rsidRPr="007F5874">
        <w:t xml:space="preserve">: </w:t>
      </w:r>
      <w:r w:rsidR="00093A3E" w:rsidRPr="007F5874">
        <w:t>Chris Kelly (</w:t>
      </w:r>
      <w:hyperlink r:id="rId25" w:history="1">
        <w:r w:rsidR="00093A3E" w:rsidRPr="007F5874">
          <w:rPr>
            <w:rStyle w:val="Hyperlink"/>
          </w:rPr>
          <w:t>chkelly@ncbi.nlm.nih.gov</w:t>
        </w:r>
      </w:hyperlink>
      <w:r w:rsidR="00093A3E" w:rsidRPr="007F5874">
        <w:t>), Adriana Malheiro (</w:t>
      </w:r>
      <w:hyperlink r:id="rId26" w:history="1">
        <w:r w:rsidR="00093A3E" w:rsidRPr="007F5874">
          <w:rPr>
            <w:rStyle w:val="Hyperlink"/>
          </w:rPr>
          <w:t>adriana.malheiro@nih.gov</w:t>
        </w:r>
      </w:hyperlink>
      <w:r w:rsidR="00093A3E" w:rsidRPr="007F5874">
        <w:t>), and Wendy Rubinstein (</w:t>
      </w:r>
      <w:hyperlink r:id="rId27" w:history="1">
        <w:r w:rsidR="00746C70" w:rsidRPr="007F5874">
          <w:rPr>
            <w:rStyle w:val="Hyperlink"/>
          </w:rPr>
          <w:t>rubinstw@ncbi.nlm.nih.gov</w:t>
        </w:r>
      </w:hyperlink>
      <w:r w:rsidR="00093A3E" w:rsidRPr="007F5874">
        <w:t>)</w:t>
      </w:r>
      <w:r w:rsidR="005C0233" w:rsidRPr="007F5874">
        <w:t>.</w:t>
      </w:r>
    </w:p>
    <w:p w14:paraId="6C47716E" w14:textId="77777777" w:rsidR="005C0233" w:rsidRPr="007F5874" w:rsidRDefault="005C0233" w:rsidP="00F86067">
      <w:pPr>
        <w:ind w:left="360"/>
      </w:pPr>
    </w:p>
    <w:p w14:paraId="0BD778C2" w14:textId="77777777" w:rsidR="00FC64F8" w:rsidRPr="007F5874" w:rsidRDefault="00664CF8" w:rsidP="005C0233">
      <w:r w:rsidRPr="007F5874">
        <w:t>Genetic Testing Registry</w:t>
      </w:r>
      <w:r w:rsidR="00496ACD">
        <w:t xml:space="preserve"> (GTR)</w:t>
      </w:r>
      <w:r w:rsidRPr="007F5874">
        <w:t>:</w:t>
      </w:r>
    </w:p>
    <w:p w14:paraId="64405E40" w14:textId="6F36A608" w:rsidR="00664CF8" w:rsidRDefault="00FA7AA8" w:rsidP="00FC64F8">
      <w:r w:rsidRPr="007F5874">
        <w:t xml:space="preserve">For each published guideline, </w:t>
      </w:r>
      <w:r w:rsidR="00AC0A8E">
        <w:t>Stanford PGx Group</w:t>
      </w:r>
      <w:r w:rsidR="00AC0A8E" w:rsidRPr="007F5874">
        <w:t xml:space="preserve"> </w:t>
      </w:r>
      <w:r w:rsidR="00330765" w:rsidRPr="007F5874">
        <w:t xml:space="preserve">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C471B5">
        <w:t>director</w:t>
      </w:r>
      <w:r w:rsidR="000A333B" w:rsidRPr="007F5874">
        <w:t xml:space="preserve">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146CAACC" w14:textId="77777777" w:rsidR="001911FA" w:rsidRDefault="001911FA" w:rsidP="00FC64F8"/>
    <w:p w14:paraId="27E11D04" w14:textId="77777777" w:rsidR="001911FA" w:rsidRDefault="00496ACD" w:rsidP="00FC64F8">
      <w:r>
        <w:t>Genetics/Genomics Competency Center (</w:t>
      </w:r>
      <w:r w:rsidR="001911FA">
        <w:t>G2C2</w:t>
      </w:r>
      <w:r>
        <w:t>)</w:t>
      </w:r>
      <w:r w:rsidR="001911FA">
        <w:t>:</w:t>
      </w:r>
    </w:p>
    <w:p w14:paraId="0222F22E" w14:textId="77777777" w:rsidR="001911FA" w:rsidRPr="007F5874" w:rsidRDefault="001911FA" w:rsidP="00FC64F8">
      <w:r>
        <w:t xml:space="preserve">The GTR summary will also be used for G2C2. The CPIC </w:t>
      </w:r>
      <w:r w:rsidR="00C471B5">
        <w:t>director</w:t>
      </w:r>
      <w:r>
        <w:t xml:space="preserve"> will send this to the appropriate </w:t>
      </w:r>
      <w:r w:rsidR="005E03F3">
        <w:t>contact at G2C2.</w:t>
      </w:r>
    </w:p>
    <w:p w14:paraId="11B18C61" w14:textId="77777777" w:rsidR="00D841FF" w:rsidRPr="007F5874" w:rsidRDefault="00D841FF" w:rsidP="00FC64F8"/>
    <w:p w14:paraId="63632B86" w14:textId="77777777" w:rsidR="00835745" w:rsidRPr="007F5874" w:rsidRDefault="00DB1924" w:rsidP="00FC64F8">
      <w:r w:rsidRPr="007F5874">
        <w:t>Guidelines.gov</w:t>
      </w:r>
      <w:r w:rsidR="00835745" w:rsidRPr="007F5874">
        <w:t>:</w:t>
      </w:r>
    </w:p>
    <w:p w14:paraId="6E898CB1" w14:textId="77777777" w:rsidR="00D841FF" w:rsidRPr="007F5874" w:rsidRDefault="00D841FF" w:rsidP="00FC64F8">
      <w:r w:rsidRPr="007F5874">
        <w:t xml:space="preserve">The CPIC </w:t>
      </w:r>
      <w:r w:rsidR="00C471B5">
        <w:t>director</w:t>
      </w:r>
      <w:r w:rsidRPr="007F5874">
        <w:t xml:space="preserve"> will submit each published guideline </w:t>
      </w:r>
      <w:r w:rsidR="00952503" w:rsidRPr="007F5874">
        <w:t>and guideline update to the National Guideline Clearinghouse (NGC; guidelines.gov).</w:t>
      </w:r>
    </w:p>
    <w:p w14:paraId="2DE75A6A" w14:textId="77777777" w:rsidR="002B4778" w:rsidRPr="007F5874" w:rsidRDefault="002B4778" w:rsidP="00FC64F8"/>
    <w:p w14:paraId="1F844E94" w14:textId="77777777" w:rsidR="002B4778" w:rsidRPr="007F5874" w:rsidRDefault="002B4778" w:rsidP="00FC64F8">
      <w:r w:rsidRPr="007F5874">
        <w:t>Corresponding email address:</w:t>
      </w:r>
    </w:p>
    <w:p w14:paraId="31C754D7" w14:textId="6C75E8A1"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8" w:history="1">
        <w:r w:rsidR="00F14E6E" w:rsidRPr="00F14E6E">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 xml:space="preserve">on the galley proof). </w:t>
      </w:r>
    </w:p>
    <w:p w14:paraId="470E841D" w14:textId="77777777" w:rsidR="00A3078C" w:rsidRDefault="00A3078C">
      <w:pPr>
        <w:rPr>
          <w:rFonts w:cs="Times New Roman"/>
        </w:rPr>
      </w:pPr>
    </w:p>
    <w:p w14:paraId="332CCDCE" w14:textId="2AD3378C" w:rsidR="00D95FE6" w:rsidRDefault="00D95FE6">
      <w:pPr>
        <w:rPr>
          <w:rFonts w:cs="Times New Roman"/>
        </w:rPr>
      </w:pPr>
      <w:r>
        <w:rPr>
          <w:rFonts w:cs="Times New Roman"/>
        </w:rPr>
        <w:t>CPIC website:</w:t>
      </w:r>
    </w:p>
    <w:p w14:paraId="58E02AB5" w14:textId="766BA3C6" w:rsidR="00D95FE6" w:rsidRDefault="00D95FE6">
      <w:pPr>
        <w:rPr>
          <w:rFonts w:cs="Times New Roman"/>
        </w:rPr>
      </w:pPr>
      <w:r>
        <w:rPr>
          <w:rFonts w:cs="Times New Roman"/>
        </w:rPr>
        <w:lastRenderedPageBreak/>
        <w:t>The CPIC director will create or update the guideline pages on cpicpgx.org.</w:t>
      </w:r>
    </w:p>
    <w:p w14:paraId="2CD4AFDE" w14:textId="77777777" w:rsidR="00D95FE6" w:rsidRPr="007F5874" w:rsidRDefault="00D95FE6">
      <w:pPr>
        <w:rPr>
          <w:rFonts w:cs="Times New Roman"/>
        </w:rPr>
      </w:pPr>
    </w:p>
    <w:p w14:paraId="12EF155E" w14:textId="77777777" w:rsidR="00D722A3" w:rsidRPr="007F5874" w:rsidRDefault="00D722A3" w:rsidP="00060A2E">
      <w:pPr>
        <w:pStyle w:val="Heading2"/>
      </w:pPr>
      <w:bookmarkStart w:id="27" w:name="_Toc13059459"/>
      <w:r w:rsidRPr="007F5874">
        <w:t>Guideline updates</w:t>
      </w:r>
      <w:bookmarkEnd w:id="27"/>
    </w:p>
    <w:p w14:paraId="79137FE7" w14:textId="77777777" w:rsidR="007E309C" w:rsidRPr="007F5874" w:rsidRDefault="007E309C" w:rsidP="00B63EA8"/>
    <w:p w14:paraId="7C1EA911" w14:textId="3B0DB02F"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615408">
        <w:rPr>
          <w:rFonts w:ascii="Times New Roman" w:hAnsi="Times New Roman" w:cs="Times New Roman"/>
        </w:rPr>
        <w:t>CPIC will</w:t>
      </w:r>
      <w:r w:rsidR="00BB4508">
        <w:rPr>
          <w:rFonts w:ascii="Times New Roman" w:hAnsi="Times New Roman" w:cs="Times New Roman"/>
        </w:rPr>
        <w:t xml:space="preserve">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00615408">
        <w:rPr>
          <w:rFonts w:ascii="Times New Roman" w:hAnsi="Times New Roman" w:cs="Times New Roman"/>
        </w:rPr>
        <w:t>CPIC</w:t>
      </w:r>
      <w:r w:rsidR="00BB4508">
        <w:rPr>
          <w:rFonts w:ascii="Times New Roman" w:hAnsi="Times New Roman" w:cs="Times New Roman"/>
        </w:rPr>
        <w:t xml:space="preserve"> site</w:t>
      </w:r>
      <w:r w:rsidRPr="007F5874">
        <w:rPr>
          <w:rFonts w:ascii="Times New Roman" w:hAnsi="Times New Roman" w:cs="Times New Roman"/>
        </w:rPr>
        <w:t>.</w:t>
      </w:r>
      <w:r w:rsidR="00C471B5">
        <w:rPr>
          <w:rFonts w:ascii="Times New Roman" w:hAnsi="Times New Roman" w:cs="Times New Roman"/>
        </w:rPr>
        <w:t xml:space="preserve"> PharmGKB will </w:t>
      </w:r>
      <w:r w:rsidR="00C235CD">
        <w:rPr>
          <w:rFonts w:ascii="Times New Roman" w:hAnsi="Times New Roman" w:cs="Times New Roman"/>
        </w:rPr>
        <w:t xml:space="preserve">review FDA label changes affecting CPIC guideline drugs every 6 months (in accordance with the FDA Biomarker Table updates) and </w:t>
      </w:r>
      <w:r w:rsidR="00C471B5">
        <w:rPr>
          <w:rFonts w:ascii="Times New Roman" w:hAnsi="Times New Roman" w:cs="Times New Roman"/>
        </w:rPr>
        <w:t>notify Drs. Klein, Relling, and the CPIC director</w:t>
      </w:r>
      <w:r w:rsidR="00C235CD">
        <w:rPr>
          <w:rFonts w:ascii="Times New Roman" w:hAnsi="Times New Roman" w:cs="Times New Roman"/>
        </w:rPr>
        <w:t xml:space="preserve"> if changes are found</w:t>
      </w:r>
      <w:r w:rsidR="00C471B5">
        <w:rPr>
          <w:rFonts w:ascii="Times New Roman" w:hAnsi="Times New Roman" w:cs="Times New Roman"/>
        </w:rPr>
        <w:t>.</w:t>
      </w:r>
    </w:p>
    <w:p w14:paraId="3F48DD99" w14:textId="77777777" w:rsidR="00BB4508" w:rsidRPr="007F5874" w:rsidRDefault="00BB4508" w:rsidP="00D722A3">
      <w:pPr>
        <w:pStyle w:val="Default"/>
        <w:rPr>
          <w:rFonts w:ascii="Times New Roman" w:hAnsi="Times New Roman" w:cs="Times New Roman"/>
        </w:rPr>
      </w:pPr>
    </w:p>
    <w:p w14:paraId="696A0A20" w14:textId="77777777"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24135BC6" w14:textId="77777777" w:rsidR="00516BDE" w:rsidRDefault="00516BDE" w:rsidP="00D722A3">
      <w:pPr>
        <w:pStyle w:val="Default"/>
        <w:rPr>
          <w:rFonts w:ascii="Times New Roman" w:hAnsi="Times New Roman" w:cs="Times New Roman"/>
        </w:rPr>
      </w:pPr>
    </w:p>
    <w:p w14:paraId="15B46EDC" w14:textId="77777777"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460D9CAD" w14:textId="77777777" w:rsidR="00736CB7" w:rsidRPr="007F5874" w:rsidRDefault="00736CB7" w:rsidP="00D722A3">
      <w:pPr>
        <w:pStyle w:val="Default"/>
        <w:rPr>
          <w:rFonts w:ascii="Times New Roman" w:hAnsi="Times New Roman" w:cs="Times New Roman"/>
        </w:rPr>
      </w:pPr>
    </w:p>
    <w:p w14:paraId="13407FE1" w14:textId="1EF15357"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 xml:space="preserve">notified of updates as per the </w:t>
      </w:r>
      <w:hyperlink r:id="rId29" w:history="1">
        <w:r w:rsidR="006B7FED" w:rsidRPr="006B7FED">
          <w:rPr>
            <w:rStyle w:val="Hyperlink"/>
            <w:rFonts w:ascii="Times New Roman" w:hAnsi="Times New Roman" w:cs="Times New Roman"/>
          </w:rPr>
          <w:t>Authorship on CPIC guidelines</w:t>
        </w:r>
      </w:hyperlink>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2C7684D9" w14:textId="77777777" w:rsidR="005E03F3" w:rsidRDefault="005E03F3" w:rsidP="00D722A3">
      <w:pPr>
        <w:pStyle w:val="Default"/>
        <w:rPr>
          <w:rFonts w:ascii="Times New Roman" w:hAnsi="Times New Roman" w:cs="Times New Roman"/>
        </w:rPr>
      </w:pPr>
    </w:p>
    <w:p w14:paraId="59D355D1"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 xml:space="preserve">It is the responsibility of the CPIC </w:t>
      </w:r>
      <w:r w:rsidR="00C471B5">
        <w:rPr>
          <w:rFonts w:ascii="Times New Roman" w:hAnsi="Times New Roman" w:cs="Times New Roman"/>
        </w:rPr>
        <w:t>director</w:t>
      </w:r>
      <w:r w:rsidRPr="007F5874">
        <w:rPr>
          <w:rFonts w:ascii="Times New Roman" w:hAnsi="Times New Roman" w:cs="Times New Roman"/>
        </w:rPr>
        <w:t xml:space="preserve">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B901CBA" w14:textId="77777777" w:rsidR="005E03F3" w:rsidRDefault="005E03F3" w:rsidP="00D722A3">
      <w:pPr>
        <w:pStyle w:val="Default"/>
        <w:rPr>
          <w:rFonts w:ascii="Times New Roman" w:hAnsi="Times New Roman" w:cs="Times New Roman"/>
        </w:rPr>
      </w:pPr>
    </w:p>
    <w:p w14:paraId="02AAD155"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w:t>
      </w:r>
      <w:proofErr w:type="gramStart"/>
      <w:r w:rsidR="00736CB7" w:rsidRPr="007F5874">
        <w:rPr>
          <w:rFonts w:cs="Times New Roman"/>
          <w:szCs w:val="22"/>
        </w:rPr>
        <w:t>format, and</w:t>
      </w:r>
      <w:proofErr w:type="gramEnd"/>
      <w:r w:rsidR="00736CB7" w:rsidRPr="007F5874">
        <w:rPr>
          <w:rFonts w:cs="Times New Roman"/>
          <w:szCs w:val="22"/>
        </w:rPr>
        <w:t xml:space="preserve"> should </w:t>
      </w:r>
      <w:r w:rsidRPr="007F5874">
        <w:rPr>
          <w:rFonts w:cs="Times New Roman"/>
          <w:szCs w:val="22"/>
        </w:rPr>
        <w:t>include pediatric recommendations</w:t>
      </w:r>
      <w:r w:rsidR="00736CB7" w:rsidRPr="007F5874">
        <w:rPr>
          <w:rFonts w:cs="Times New Roman"/>
          <w:szCs w:val="22"/>
        </w:rPr>
        <w:t xml:space="preserve"> if not originally present. </w:t>
      </w:r>
    </w:p>
    <w:p w14:paraId="6E2D6179" w14:textId="77777777" w:rsidR="009A7E4F" w:rsidRPr="007F5874" w:rsidRDefault="009A7E4F">
      <w:pPr>
        <w:rPr>
          <w:rFonts w:cs="Times New Roman"/>
        </w:rPr>
      </w:pPr>
    </w:p>
    <w:p w14:paraId="5E01569E" w14:textId="77777777" w:rsidR="00BB018C" w:rsidRPr="007F5874" w:rsidRDefault="00BB018C" w:rsidP="00C15442">
      <w:pPr>
        <w:pStyle w:val="Heading2"/>
      </w:pPr>
      <w:bookmarkStart w:id="28" w:name="_Toc13059460"/>
      <w:r w:rsidRPr="007F5874">
        <w:t>Resources</w:t>
      </w:r>
      <w:bookmarkEnd w:id="28"/>
    </w:p>
    <w:p w14:paraId="7464DF4F" w14:textId="77777777" w:rsidR="00BB018C" w:rsidRPr="007F5874" w:rsidRDefault="00BB018C">
      <w:pPr>
        <w:rPr>
          <w:rFonts w:cs="Times New Roman"/>
        </w:rPr>
      </w:pPr>
    </w:p>
    <w:p w14:paraId="5CD7D9D3" w14:textId="77777777"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5FCC64DE" w14:textId="77777777" w:rsidR="00615408" w:rsidRDefault="00D37C12" w:rsidP="00BD22A2">
      <w:hyperlink r:id="rId30" w:history="1">
        <w:r w:rsidR="00615408" w:rsidRPr="0018676A">
          <w:rPr>
            <w:rStyle w:val="Hyperlink"/>
          </w:rPr>
          <w:t>https://cpicpgx.org/genes-drugs/</w:t>
        </w:r>
      </w:hyperlink>
    </w:p>
    <w:p w14:paraId="3F468419" w14:textId="77777777"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0F4678B2" w14:textId="77777777" w:rsidR="00066BFE" w:rsidRPr="007F5874" w:rsidRDefault="00066BFE" w:rsidP="00066BFE"/>
    <w:p w14:paraId="1D90EE54" w14:textId="77777777" w:rsidR="00A106BC" w:rsidRPr="007F5874" w:rsidRDefault="00A106BC" w:rsidP="00066BFE"/>
    <w:p w14:paraId="5C13BFB1" w14:textId="77777777" w:rsidR="00A106BC" w:rsidRPr="007F5874" w:rsidRDefault="00A106BC" w:rsidP="00066BFE"/>
    <w:p w14:paraId="7CADC576" w14:textId="77777777" w:rsidR="00066BFE" w:rsidRPr="007F5874" w:rsidRDefault="00066BFE" w:rsidP="00A75544">
      <w:pPr>
        <w:rPr>
          <w:rFonts w:cs="Times New Roman"/>
        </w:rPr>
      </w:pPr>
    </w:p>
    <w:p w14:paraId="317D29BE" w14:textId="77777777" w:rsidR="00982575" w:rsidRPr="007F5874" w:rsidRDefault="00982575">
      <w:pPr>
        <w:rPr>
          <w:rFonts w:eastAsiaTheme="majorEastAsia" w:cstheme="majorBidi"/>
          <w:b/>
          <w:bCs/>
          <w:szCs w:val="28"/>
        </w:rPr>
      </w:pPr>
      <w:bookmarkStart w:id="29" w:name="_APPENDIX_A:_Manuscript"/>
      <w:bookmarkEnd w:id="29"/>
      <w:r w:rsidRPr="007F5874">
        <w:br w:type="page"/>
      </w:r>
    </w:p>
    <w:p w14:paraId="29B72AD4" w14:textId="77777777" w:rsidR="005C7246" w:rsidRPr="007F5874" w:rsidRDefault="005C7246" w:rsidP="008E0ADA">
      <w:pPr>
        <w:pStyle w:val="Heading1"/>
      </w:pPr>
      <w:bookmarkStart w:id="30" w:name="_Toc13059461"/>
      <w:r w:rsidRPr="007F5874">
        <w:lastRenderedPageBreak/>
        <w:t>APPENDIX A: Manuscript Template</w:t>
      </w:r>
      <w:bookmarkEnd w:id="30"/>
      <w:r w:rsidR="00944E35" w:rsidRPr="007F5874">
        <w:t xml:space="preserve"> </w:t>
      </w:r>
    </w:p>
    <w:p w14:paraId="72F2C175" w14:textId="77777777" w:rsidR="005C7246" w:rsidRPr="007F5874" w:rsidRDefault="005C7246" w:rsidP="005C7246">
      <w:pPr>
        <w:rPr>
          <w:rFonts w:cs="Times New Roman"/>
        </w:rPr>
      </w:pPr>
    </w:p>
    <w:p w14:paraId="65F4996A" w14:textId="77777777"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73AE77B5" w14:textId="77777777" w:rsidR="005C7246" w:rsidRPr="007F5874" w:rsidRDefault="005C7246" w:rsidP="005C7246">
      <w:pPr>
        <w:widowControl w:val="0"/>
        <w:autoSpaceDE w:val="0"/>
        <w:autoSpaceDN w:val="0"/>
        <w:adjustRightInd w:val="0"/>
        <w:ind w:left="90"/>
        <w:rPr>
          <w:rFonts w:cs="Times New Roman"/>
        </w:rPr>
      </w:pPr>
    </w:p>
    <w:p w14:paraId="073352CB" w14:textId="77777777" w:rsidR="005C7246" w:rsidRPr="007F5874" w:rsidRDefault="005C7246" w:rsidP="005C7246">
      <w:pPr>
        <w:widowControl w:val="0"/>
        <w:autoSpaceDE w:val="0"/>
        <w:autoSpaceDN w:val="0"/>
        <w:adjustRightInd w:val="0"/>
        <w:ind w:left="90"/>
        <w:rPr>
          <w:rFonts w:cs="Times New Roman"/>
        </w:rPr>
      </w:pPr>
    </w:p>
    <w:p w14:paraId="56FBE8E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92381E6" w14:textId="77777777" w:rsidR="005C7246" w:rsidRPr="007F5874" w:rsidRDefault="005C7246" w:rsidP="005C7246">
      <w:pPr>
        <w:widowControl w:val="0"/>
        <w:autoSpaceDE w:val="0"/>
        <w:autoSpaceDN w:val="0"/>
        <w:adjustRightInd w:val="0"/>
        <w:ind w:left="90"/>
        <w:rPr>
          <w:rFonts w:cs="Times New Roman"/>
        </w:rPr>
      </w:pPr>
    </w:p>
    <w:p w14:paraId="023B1812" w14:textId="77777777" w:rsidR="005C7246" w:rsidRPr="007F5874" w:rsidRDefault="005C7246" w:rsidP="005C7246">
      <w:pPr>
        <w:widowControl w:val="0"/>
        <w:autoSpaceDE w:val="0"/>
        <w:autoSpaceDN w:val="0"/>
        <w:adjustRightInd w:val="0"/>
        <w:ind w:left="90"/>
        <w:rPr>
          <w:rFonts w:cs="Times New Roman"/>
        </w:rPr>
      </w:pPr>
    </w:p>
    <w:p w14:paraId="301710E7"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7FF047C1" w14:textId="77777777" w:rsidR="005C7246" w:rsidRPr="007F5874" w:rsidRDefault="005C7246" w:rsidP="005C7246">
      <w:pPr>
        <w:widowControl w:val="0"/>
        <w:autoSpaceDE w:val="0"/>
        <w:autoSpaceDN w:val="0"/>
        <w:adjustRightInd w:val="0"/>
        <w:ind w:left="90"/>
        <w:rPr>
          <w:rFonts w:cs="Times New Roman"/>
        </w:rPr>
      </w:pPr>
    </w:p>
    <w:p w14:paraId="3FFDC627" w14:textId="77777777" w:rsidR="005C7246" w:rsidRPr="007F5874" w:rsidRDefault="005C7246" w:rsidP="005C7246">
      <w:pPr>
        <w:widowControl w:val="0"/>
        <w:autoSpaceDE w:val="0"/>
        <w:autoSpaceDN w:val="0"/>
        <w:adjustRightInd w:val="0"/>
        <w:ind w:left="90"/>
        <w:rPr>
          <w:rFonts w:cs="Times New Roman"/>
        </w:rPr>
      </w:pPr>
    </w:p>
    <w:p w14:paraId="05A796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09480EB2" w14:textId="0457E6AC"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w:t>
      </w:r>
      <w:r w:rsidR="00B230E0">
        <w:rPr>
          <w:rFonts w:cs="Times New Roman"/>
        </w:rPr>
        <w:t>contact@cpicpgx.org</w:t>
      </w:r>
    </w:p>
    <w:p w14:paraId="2C688A39" w14:textId="77777777" w:rsidR="005C7246" w:rsidRPr="007F5874" w:rsidRDefault="005C7246" w:rsidP="005C7246">
      <w:pPr>
        <w:widowControl w:val="0"/>
        <w:autoSpaceDE w:val="0"/>
        <w:autoSpaceDN w:val="0"/>
        <w:adjustRightInd w:val="0"/>
        <w:ind w:left="90"/>
        <w:rPr>
          <w:rFonts w:cs="Times New Roman"/>
        </w:rPr>
      </w:pPr>
    </w:p>
    <w:p w14:paraId="418B7217" w14:textId="77777777" w:rsidR="005C7246" w:rsidRPr="007F5874" w:rsidRDefault="005C7246" w:rsidP="005C7246">
      <w:pPr>
        <w:widowControl w:val="0"/>
        <w:autoSpaceDE w:val="0"/>
        <w:autoSpaceDN w:val="0"/>
        <w:adjustRightInd w:val="0"/>
        <w:ind w:left="90"/>
        <w:rPr>
          <w:rFonts w:cs="Times New Roman"/>
        </w:rPr>
      </w:pPr>
    </w:p>
    <w:p w14:paraId="1DA4BDD7"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5413A0A5"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1006B4FC"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6C59CF42"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w:t>
      </w:r>
      <w:proofErr w:type="gramStart"/>
      <w:r w:rsidRPr="007F5874">
        <w:rPr>
          <w:rFonts w:cs="Times New Roman"/>
        </w:rPr>
        <w:t>:  (</w:t>
      </w:r>
      <w:proofErr w:type="gramEnd"/>
      <w:r w:rsidRPr="007F5874">
        <w:rPr>
          <w:rFonts w:cs="Times New Roman"/>
        </w:rPr>
        <w:t>40 limit)</w:t>
      </w:r>
    </w:p>
    <w:p w14:paraId="4C70FB28"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256001D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6F32E2C0" w14:textId="77777777" w:rsidR="005C7246" w:rsidRPr="007F5874" w:rsidRDefault="005C7246" w:rsidP="005C7246">
      <w:pPr>
        <w:widowControl w:val="0"/>
        <w:autoSpaceDE w:val="0"/>
        <w:autoSpaceDN w:val="0"/>
        <w:adjustRightInd w:val="0"/>
        <w:ind w:left="90"/>
        <w:rPr>
          <w:rFonts w:cs="Times New Roman"/>
        </w:rPr>
      </w:pPr>
    </w:p>
    <w:p w14:paraId="0E31DD8F"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w:t>
      </w:r>
      <w:proofErr w:type="gramStart"/>
      <w:r w:rsidR="00D722A3" w:rsidRPr="007F5874">
        <w:rPr>
          <w:rFonts w:cs="Times New Roman"/>
          <w:b/>
        </w:rPr>
        <w:t>75 word</w:t>
      </w:r>
      <w:proofErr w:type="gramEnd"/>
      <w:r w:rsidR="00D722A3" w:rsidRPr="007F5874">
        <w:rPr>
          <w:rFonts w:cs="Times New Roman"/>
          <w:b/>
        </w:rPr>
        <w:t xml:space="preserve"> limit)</w:t>
      </w:r>
    </w:p>
    <w:p w14:paraId="2A0D6987" w14:textId="77777777" w:rsidR="00944E35" w:rsidRPr="007F5874" w:rsidRDefault="005C7246" w:rsidP="00286C4A">
      <w:r w:rsidRPr="007F5874">
        <w:br w:type="page"/>
      </w:r>
    </w:p>
    <w:p w14:paraId="5F962AD2" w14:textId="77777777" w:rsidR="00944E35" w:rsidRPr="007F5874" w:rsidRDefault="00944E35" w:rsidP="00286C4A">
      <w:pPr>
        <w:rPr>
          <w:b/>
        </w:rPr>
      </w:pPr>
      <w:r w:rsidRPr="007F5874">
        <w:rPr>
          <w:b/>
        </w:rPr>
        <w:lastRenderedPageBreak/>
        <w:t>Template 1 (discussion of gene before drug)</w:t>
      </w:r>
    </w:p>
    <w:p w14:paraId="1EF59EC5" w14:textId="77777777" w:rsidR="005C7246" w:rsidRPr="007F5874" w:rsidRDefault="005C7246" w:rsidP="00286C4A">
      <w:pPr>
        <w:rPr>
          <w:b/>
        </w:rPr>
      </w:pPr>
      <w:r w:rsidRPr="007F5874">
        <w:rPr>
          <w:b/>
        </w:rPr>
        <w:t>Introduction</w:t>
      </w:r>
    </w:p>
    <w:p w14:paraId="4FD8B54C" w14:textId="77777777" w:rsidR="00286C4A" w:rsidRPr="007F5874" w:rsidRDefault="00286C4A" w:rsidP="00286C4A">
      <w:pPr>
        <w:rPr>
          <w:b/>
        </w:rPr>
      </w:pPr>
    </w:p>
    <w:p w14:paraId="47AFF442"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w:t>
      </w:r>
      <w:r w:rsidR="00B971C9">
        <w:rPr>
          <w:rFonts w:cs="Times New Roman"/>
        </w:rPr>
        <w:t>e used to guide dosing of</w:t>
      </w:r>
      <w:r w:rsidRPr="007F5874">
        <w:rPr>
          <w:rFonts w:cs="Times New Roman"/>
        </w:rPr>
        <w:t xml:space="preserve"> _____ [drug/s]. ------------------</w:t>
      </w:r>
    </w:p>
    <w:p w14:paraId="443A650A"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r w:rsidR="00615408" w:rsidRPr="00615408">
        <w:t>w</w:t>
      </w:r>
      <w:r w:rsidR="00615408">
        <w:t>ww.cpicpgx.org</w:t>
      </w:r>
      <w:r w:rsidR="00C81C8B" w:rsidRPr="007F5874">
        <w:t>.</w:t>
      </w:r>
    </w:p>
    <w:p w14:paraId="0F42FB0A"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17A57046" w14:textId="77777777" w:rsidR="005C7246" w:rsidRPr="007F5874" w:rsidRDefault="005C7246" w:rsidP="00286C4A">
      <w:pPr>
        <w:rPr>
          <w:b/>
        </w:rPr>
      </w:pPr>
      <w:r w:rsidRPr="007F5874">
        <w:rPr>
          <w:b/>
        </w:rPr>
        <w:t>Focused Literature Review</w:t>
      </w:r>
    </w:p>
    <w:p w14:paraId="40D0E567" w14:textId="77777777" w:rsidR="0022696A" w:rsidRPr="007F5874" w:rsidRDefault="0022696A" w:rsidP="00286C4A">
      <w:pPr>
        <w:rPr>
          <w:b/>
        </w:rPr>
      </w:pPr>
    </w:p>
    <w:p w14:paraId="28FD6E32"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1D793C7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4F11AC4C"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740BBE3E"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018E3A2D"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485A8852" w14:textId="77777777" w:rsidR="005C7246" w:rsidRPr="007F5874" w:rsidRDefault="005C7246" w:rsidP="005C7246">
      <w:pPr>
        <w:tabs>
          <w:tab w:val="left" w:pos="990"/>
        </w:tabs>
        <w:spacing w:line="480" w:lineRule="auto"/>
        <w:rPr>
          <w:rFonts w:cs="Times New Roman"/>
          <w:b/>
        </w:rPr>
      </w:pPr>
    </w:p>
    <w:p w14:paraId="542C7F91"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4A26B172" w14:textId="77777777"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w:t>
      </w:r>
      <w:proofErr w:type="gramStart"/>
      <w:r w:rsidRPr="007F5874">
        <w:rPr>
          <w:rFonts w:cs="Times New Roman"/>
        </w:rPr>
        <w:t>and  _</w:t>
      </w:r>
      <w:proofErr w:type="gramEnd"/>
      <w:r w:rsidRPr="007F5874">
        <w:rPr>
          <w:rFonts w:cs="Times New Roman"/>
        </w:rPr>
        <w:t xml:space="preserve">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49723F1A" w14:textId="7777777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3EEB965F" w14:textId="77777777" w:rsidR="005C7246" w:rsidRPr="007F5874" w:rsidRDefault="005C7246" w:rsidP="005C7246">
      <w:pPr>
        <w:widowControl w:val="0"/>
        <w:autoSpaceDE w:val="0"/>
        <w:autoSpaceDN w:val="0"/>
        <w:adjustRightInd w:val="0"/>
        <w:spacing w:line="480" w:lineRule="auto"/>
        <w:rPr>
          <w:rFonts w:cs="Times New Roman"/>
        </w:rPr>
      </w:pPr>
    </w:p>
    <w:p w14:paraId="6EF490C0"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E1020A" w:rsidRPr="00E1020A">
        <w:rPr>
          <w:rFonts w:cs="Times New Roman"/>
        </w:rPr>
        <w:t>https://www.ncbi.nlm.nih.gov/gtr/</w:t>
      </w:r>
      <w:r w:rsidRPr="007F5874">
        <w:rPr>
          <w:rFonts w:cs="Times New Roman"/>
        </w:rPr>
        <w:t xml:space="preserve"> for more information on commercially available clinical testing options.</w:t>
      </w:r>
      <w:r w:rsidR="00D26EE1" w:rsidRPr="007F5874">
        <w:rPr>
          <w:rFonts w:cs="Times New Roman"/>
        </w:rPr>
        <w:t xml:space="preserve"> </w:t>
      </w:r>
    </w:p>
    <w:p w14:paraId="37621893" w14:textId="77777777" w:rsidR="005C7246" w:rsidRPr="007F5874" w:rsidRDefault="005C7246" w:rsidP="005C7246">
      <w:pPr>
        <w:widowControl w:val="0"/>
        <w:autoSpaceDE w:val="0"/>
        <w:autoSpaceDN w:val="0"/>
        <w:adjustRightInd w:val="0"/>
        <w:spacing w:line="480" w:lineRule="auto"/>
        <w:rPr>
          <w:rFonts w:cs="Times New Roman"/>
        </w:rPr>
      </w:pPr>
    </w:p>
    <w:p w14:paraId="49559EF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74BF275D"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6456143E" w14:textId="77777777" w:rsidR="005C7246" w:rsidRPr="007F5874" w:rsidRDefault="005C7246" w:rsidP="005C7246">
      <w:pPr>
        <w:widowControl w:val="0"/>
        <w:autoSpaceDE w:val="0"/>
        <w:autoSpaceDN w:val="0"/>
        <w:adjustRightInd w:val="0"/>
        <w:spacing w:line="480" w:lineRule="auto"/>
        <w:rPr>
          <w:rFonts w:cs="Times New Roman"/>
          <w:b/>
        </w:rPr>
      </w:pPr>
    </w:p>
    <w:p w14:paraId="5553794C"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E612C3A" w14:textId="77777777" w:rsidR="005C7246" w:rsidRPr="007F5874" w:rsidRDefault="005C7246" w:rsidP="00286C4A">
      <w:r w:rsidRPr="007F5874">
        <w:t xml:space="preserve"> </w:t>
      </w:r>
    </w:p>
    <w:p w14:paraId="70EAA22E" w14:textId="77777777" w:rsidR="005C7246" w:rsidRPr="007F5874" w:rsidRDefault="005C7246" w:rsidP="005C7246">
      <w:pPr>
        <w:rPr>
          <w:rFonts w:cs="Times New Roman"/>
        </w:rPr>
      </w:pPr>
    </w:p>
    <w:p w14:paraId="745CBB50" w14:textId="77777777" w:rsidR="005C7246" w:rsidRPr="007F5874" w:rsidRDefault="005C7246" w:rsidP="00286C4A">
      <w:pPr>
        <w:rPr>
          <w:b/>
        </w:rPr>
      </w:pPr>
      <w:r w:rsidRPr="007F5874">
        <w:rPr>
          <w:b/>
        </w:rPr>
        <w:t>Drug (s)</w:t>
      </w:r>
      <w:r w:rsidR="00E00EC8">
        <w:rPr>
          <w:b/>
        </w:rPr>
        <w:t xml:space="preserve"> (Use RxNorm terms whenever possible)</w:t>
      </w:r>
    </w:p>
    <w:p w14:paraId="248AEEF7" w14:textId="77777777" w:rsidR="007F1918" w:rsidRPr="007F5874" w:rsidRDefault="007F1918" w:rsidP="00286C4A">
      <w:pPr>
        <w:rPr>
          <w:b/>
        </w:rPr>
      </w:pPr>
    </w:p>
    <w:p w14:paraId="00FE39CC" w14:textId="77777777" w:rsidR="005C7246" w:rsidRPr="007F5874" w:rsidRDefault="005C7246" w:rsidP="00286C4A">
      <w:proofErr w:type="gramStart"/>
      <w:r w:rsidRPr="007F5874">
        <w:rPr>
          <w:i/>
        </w:rPr>
        <w:t>Background</w:t>
      </w:r>
      <w:r w:rsidR="00521FF1" w:rsidRPr="007F5874">
        <w:rPr>
          <w:i/>
        </w:rPr>
        <w:t>.</w:t>
      </w:r>
      <w:r w:rsidR="00521FF1" w:rsidRPr="007F5874">
        <w:t>_</w:t>
      </w:r>
      <w:proofErr w:type="gramEnd"/>
      <w:r w:rsidR="00521FF1" w:rsidRPr="007F5874">
        <w:t>______________</w:t>
      </w:r>
    </w:p>
    <w:p w14:paraId="33FC0633" w14:textId="77777777" w:rsidR="005C7246" w:rsidRPr="007F5874" w:rsidRDefault="005C7246" w:rsidP="005C7246">
      <w:pPr>
        <w:tabs>
          <w:tab w:val="left" w:pos="990"/>
        </w:tabs>
        <w:spacing w:line="480" w:lineRule="auto"/>
        <w:rPr>
          <w:rFonts w:cs="Times New Roman"/>
        </w:rPr>
      </w:pPr>
    </w:p>
    <w:p w14:paraId="6686AA1E"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57393333"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486E1C12" w14:textId="77777777" w:rsidR="00521FF1" w:rsidRPr="007F5874" w:rsidRDefault="00521FF1" w:rsidP="00521FF1">
      <w:pPr>
        <w:spacing w:line="480" w:lineRule="auto"/>
        <w:rPr>
          <w:rFonts w:cs="Times New Roman"/>
          <w:i/>
          <w:color w:val="000000" w:themeColor="text1"/>
        </w:rPr>
      </w:pPr>
    </w:p>
    <w:p w14:paraId="4337B1A2"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1" w:name="OLE_LINK7"/>
      <w:bookmarkStart w:id="32" w:name="OLE_LINK8"/>
    </w:p>
    <w:p w14:paraId="4AA67E8D" w14:textId="77777777" w:rsidR="00A77570" w:rsidRPr="007F5874" w:rsidRDefault="005C7246" w:rsidP="00A77570">
      <w:pPr>
        <w:rPr>
          <w:rFonts w:cs="Times New Roman"/>
          <w:szCs w:val="22"/>
        </w:rPr>
      </w:pPr>
      <w:r w:rsidRPr="007F5874">
        <w:rPr>
          <w:rFonts w:cs="Times New Roman"/>
        </w:rPr>
        <w:t>(Table 2</w:t>
      </w:r>
      <w:bookmarkEnd w:id="31"/>
      <w:bookmarkEnd w:id="32"/>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051B3DF" w14:textId="77777777" w:rsidR="005C7246"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096E6B40" w14:textId="77777777" w:rsidR="008A48F9" w:rsidRDefault="008A48F9" w:rsidP="005957F1">
      <w:pPr>
        <w:rPr>
          <w:rFonts w:cs="Times New Roman"/>
        </w:rPr>
      </w:pPr>
    </w:p>
    <w:p w14:paraId="6C1525D4" w14:textId="77777777" w:rsidR="008A48F9" w:rsidRPr="007F5874" w:rsidRDefault="008A48F9" w:rsidP="005957F1">
      <w:pPr>
        <w:rPr>
          <w:rFonts w:cs="Times New Roman"/>
        </w:rPr>
      </w:pPr>
      <w:r>
        <w:rPr>
          <w:rFonts w:cs="Times New Roman"/>
        </w:rPr>
        <w:t>If there are any gender-specific considerations linked to the pharmacogenetic prescribing recommendations, include them (e.g. for G6PD).</w:t>
      </w:r>
    </w:p>
    <w:p w14:paraId="02591CF9" w14:textId="77777777" w:rsidR="005C7246" w:rsidRPr="007F5874" w:rsidRDefault="005C7246" w:rsidP="005C7246">
      <w:pPr>
        <w:rPr>
          <w:rFonts w:cs="Times New Roman"/>
        </w:rPr>
      </w:pPr>
    </w:p>
    <w:p w14:paraId="2FB91FC0" w14:textId="77777777" w:rsidR="005C7246" w:rsidRPr="007F5874" w:rsidRDefault="005C7246" w:rsidP="00286C4A">
      <w:r w:rsidRPr="007F5874">
        <w:rPr>
          <w:i/>
        </w:rPr>
        <w:t xml:space="preserve">Recommendations for Incidental </w:t>
      </w:r>
      <w:proofErr w:type="gramStart"/>
      <w:r w:rsidRPr="007F5874">
        <w:rPr>
          <w:i/>
        </w:rPr>
        <w:t>Findings</w:t>
      </w:r>
      <w:r w:rsidR="00521FF1" w:rsidRPr="007F5874">
        <w:rPr>
          <w:b/>
        </w:rPr>
        <w:t>._</w:t>
      </w:r>
      <w:proofErr w:type="gramEnd"/>
      <w:r w:rsidR="00521FF1" w:rsidRPr="007F5874">
        <w:rPr>
          <w:b/>
        </w:rPr>
        <w:t>______________</w:t>
      </w:r>
    </w:p>
    <w:p w14:paraId="6C03D16E" w14:textId="77777777" w:rsidR="005C7246" w:rsidRPr="007F5874" w:rsidRDefault="005C7246" w:rsidP="00286C4A">
      <w:pPr>
        <w:spacing w:line="480" w:lineRule="auto"/>
        <w:rPr>
          <w:rFonts w:cs="Times New Roman"/>
        </w:rPr>
      </w:pPr>
    </w:p>
    <w:p w14:paraId="69866125" w14:textId="77777777" w:rsidR="005C7246" w:rsidRPr="007F5874" w:rsidRDefault="005C7246" w:rsidP="00286C4A">
      <w:r w:rsidRPr="007F5874">
        <w:rPr>
          <w:i/>
        </w:rPr>
        <w:t xml:space="preserve">Other </w:t>
      </w:r>
      <w:proofErr w:type="gramStart"/>
      <w:r w:rsidRPr="007F5874">
        <w:rPr>
          <w:i/>
        </w:rPr>
        <w:t>considerations</w:t>
      </w:r>
      <w:r w:rsidR="00521FF1" w:rsidRPr="007F5874">
        <w:rPr>
          <w:b/>
        </w:rPr>
        <w:t>._</w:t>
      </w:r>
      <w:proofErr w:type="gramEnd"/>
      <w:r w:rsidR="00521FF1" w:rsidRPr="007F5874">
        <w:rPr>
          <w:b/>
        </w:rPr>
        <w:t>_________________</w:t>
      </w:r>
    </w:p>
    <w:p w14:paraId="6349AFC4" w14:textId="77777777" w:rsidR="005C7246" w:rsidRPr="007F5874" w:rsidRDefault="005C7246" w:rsidP="005C7246">
      <w:pPr>
        <w:spacing w:line="480" w:lineRule="auto"/>
        <w:rPr>
          <w:rFonts w:cs="Times New Roman"/>
          <w:b/>
        </w:rPr>
      </w:pPr>
      <w:r w:rsidRPr="007F5874">
        <w:rPr>
          <w:rFonts w:cs="Times New Roman"/>
          <w:b/>
        </w:rPr>
        <w:t xml:space="preserve">  </w:t>
      </w:r>
    </w:p>
    <w:p w14:paraId="1CE8DE8D" w14:textId="77777777" w:rsidR="005C7246" w:rsidRPr="007F5874" w:rsidRDefault="005C7246" w:rsidP="005C7246">
      <w:pPr>
        <w:spacing w:line="480" w:lineRule="auto"/>
        <w:rPr>
          <w:rFonts w:cs="Times New Roman"/>
          <w:b/>
        </w:rPr>
      </w:pPr>
    </w:p>
    <w:p w14:paraId="2CAE93BA"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40660B81"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25D431E6" w14:textId="77777777" w:rsidR="005C7246" w:rsidRPr="007F5874" w:rsidRDefault="005C7246" w:rsidP="005C7246">
      <w:pPr>
        <w:spacing w:line="480" w:lineRule="auto"/>
        <w:rPr>
          <w:rFonts w:cs="Times New Roman"/>
          <w:b/>
        </w:rPr>
      </w:pPr>
    </w:p>
    <w:p w14:paraId="588B1CD2"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BDD7D14" w14:textId="77777777" w:rsidR="005C7246" w:rsidRPr="007F5874" w:rsidRDefault="005C7246" w:rsidP="00286C4A">
      <w:r w:rsidRPr="007F5874">
        <w:t>________________</w:t>
      </w:r>
    </w:p>
    <w:p w14:paraId="2B144B79" w14:textId="77777777" w:rsidR="0022696A" w:rsidRPr="007F5874" w:rsidRDefault="0022696A" w:rsidP="005C7246">
      <w:pPr>
        <w:rPr>
          <w:rFonts w:cs="Times New Roman"/>
          <w:b/>
        </w:rPr>
      </w:pPr>
    </w:p>
    <w:p w14:paraId="44A02751"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4F111768"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w:t>
      </w:r>
      <w:r w:rsidRPr="007F5874">
        <w:rPr>
          <w:rFonts w:cs="Times New Roman"/>
        </w:rPr>
        <w:lastRenderedPageBreak/>
        <w:t>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5DBBC779" w14:textId="77777777" w:rsidR="005C7246" w:rsidRPr="007F5874" w:rsidRDefault="005C7246" w:rsidP="005C7246">
      <w:pPr>
        <w:rPr>
          <w:rFonts w:cs="Times New Roman"/>
          <w:b/>
        </w:rPr>
      </w:pPr>
    </w:p>
    <w:p w14:paraId="07E04CDE" w14:textId="77777777" w:rsidR="005C7246" w:rsidRPr="007F5874" w:rsidRDefault="005C7246" w:rsidP="005C7246">
      <w:pPr>
        <w:rPr>
          <w:rFonts w:cs="Times New Roman"/>
          <w:b/>
        </w:rPr>
      </w:pPr>
    </w:p>
    <w:p w14:paraId="42F1A74E" w14:textId="77777777" w:rsidR="005C7246" w:rsidRPr="007F5874" w:rsidRDefault="0022696A" w:rsidP="0022696A">
      <w:r w:rsidRPr="007F5874">
        <w:t>Acknowledgement</w:t>
      </w:r>
    </w:p>
    <w:p w14:paraId="4BAC4030" w14:textId="77777777" w:rsidR="0022696A" w:rsidRPr="007F5874" w:rsidRDefault="0022696A" w:rsidP="0022696A"/>
    <w:p w14:paraId="2A275E03" w14:textId="77777777" w:rsidR="00775741" w:rsidRPr="007F5874" w:rsidRDefault="005C7246" w:rsidP="0022696A">
      <w:r w:rsidRPr="007F5874">
        <w:t>Conflict of Interest</w:t>
      </w:r>
      <w:r w:rsidR="00775741" w:rsidRPr="007F5874">
        <w:t xml:space="preserve"> </w:t>
      </w:r>
    </w:p>
    <w:p w14:paraId="434E5422"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2EFE7B49" w14:textId="77777777" w:rsidR="005C7246" w:rsidRPr="007F5874" w:rsidRDefault="005C7246" w:rsidP="0022696A"/>
    <w:p w14:paraId="73CC7EAD" w14:textId="77777777" w:rsidR="005C7246" w:rsidRPr="007F5874" w:rsidRDefault="005C7246" w:rsidP="005C7246">
      <w:pPr>
        <w:rPr>
          <w:rFonts w:cs="Times New Roman"/>
        </w:rPr>
      </w:pPr>
    </w:p>
    <w:p w14:paraId="0724A6EA" w14:textId="77777777" w:rsidR="005C7246" w:rsidRPr="007F5874" w:rsidRDefault="005C7246" w:rsidP="005C7246">
      <w:pPr>
        <w:rPr>
          <w:rFonts w:cs="Times New Roman"/>
          <w:lang w:bidi="en-US"/>
        </w:rPr>
      </w:pPr>
      <w:r w:rsidRPr="007F5874">
        <w:rPr>
          <w:rFonts w:cs="Times New Roman"/>
          <w:b/>
          <w:u w:val="single"/>
          <w:lang w:bidi="en-US"/>
        </w:rPr>
        <w:t>REFERENCES</w:t>
      </w:r>
    </w:p>
    <w:p w14:paraId="2424206C" w14:textId="77777777" w:rsidR="005C7246" w:rsidRPr="007F5874" w:rsidRDefault="005C7246" w:rsidP="005C7246">
      <w:pPr>
        <w:rPr>
          <w:rFonts w:cs="Times New Roman"/>
          <w:lang w:bidi="en-US"/>
        </w:rPr>
      </w:pPr>
    </w:p>
    <w:p w14:paraId="18FC98AB" w14:textId="77777777" w:rsidR="005C7246" w:rsidRPr="007F5874" w:rsidRDefault="005C7246" w:rsidP="005C7246">
      <w:pPr>
        <w:rPr>
          <w:rFonts w:cs="Times New Roman"/>
          <w:lang w:bidi="en-US"/>
        </w:rPr>
      </w:pPr>
    </w:p>
    <w:p w14:paraId="2D798BE6" w14:textId="77777777" w:rsidR="005C7246" w:rsidRPr="007F5874" w:rsidRDefault="005C7246" w:rsidP="005C7246">
      <w:pPr>
        <w:rPr>
          <w:rFonts w:cs="Times New Roman"/>
          <w:lang w:bidi="en-US"/>
        </w:rPr>
      </w:pPr>
    </w:p>
    <w:p w14:paraId="2AF8BDBD" w14:textId="77777777" w:rsidR="005C7246" w:rsidRPr="007F5874" w:rsidRDefault="005C7246" w:rsidP="005C7246">
      <w:pPr>
        <w:rPr>
          <w:rFonts w:cs="Times New Roman"/>
          <w:lang w:bidi="en-US"/>
        </w:rPr>
      </w:pPr>
    </w:p>
    <w:p w14:paraId="2393C491" w14:textId="77777777" w:rsidR="005C7246" w:rsidRPr="007F5874" w:rsidRDefault="005C7246" w:rsidP="005C7246">
      <w:pPr>
        <w:rPr>
          <w:rFonts w:cs="Times New Roman"/>
          <w:lang w:bidi="en-US"/>
        </w:rPr>
      </w:pPr>
    </w:p>
    <w:p w14:paraId="76E8BE65" w14:textId="77777777" w:rsidR="00944E35" w:rsidRPr="007F5874" w:rsidRDefault="00944E35" w:rsidP="00944E35">
      <w:pPr>
        <w:rPr>
          <w:rFonts w:cs="Times New Roman"/>
        </w:rPr>
      </w:pPr>
      <w:r w:rsidRPr="007F5874">
        <w:rPr>
          <w:rFonts w:cs="Times New Roman"/>
        </w:rPr>
        <w:br w:type="page"/>
      </w:r>
    </w:p>
    <w:p w14:paraId="59DD3315" w14:textId="77777777" w:rsidR="00944E35" w:rsidRPr="007F5874" w:rsidRDefault="00944E35" w:rsidP="00944E35">
      <w:pPr>
        <w:rPr>
          <w:b/>
        </w:rPr>
      </w:pPr>
      <w:r w:rsidRPr="007F5874">
        <w:rPr>
          <w:b/>
        </w:rPr>
        <w:lastRenderedPageBreak/>
        <w:t>Template 2 (discussion of drug before gene)</w:t>
      </w:r>
    </w:p>
    <w:p w14:paraId="15FD995A" w14:textId="77777777" w:rsidR="00944E35" w:rsidRPr="007F5874" w:rsidRDefault="00944E35" w:rsidP="00944E35">
      <w:pPr>
        <w:rPr>
          <w:b/>
        </w:rPr>
      </w:pPr>
      <w:r w:rsidRPr="007F5874">
        <w:rPr>
          <w:b/>
        </w:rPr>
        <w:t>Introduction</w:t>
      </w:r>
    </w:p>
    <w:p w14:paraId="3CF0DAAD" w14:textId="77777777" w:rsidR="00944E35" w:rsidRPr="007F5874" w:rsidRDefault="00944E35" w:rsidP="00944E35">
      <w:pPr>
        <w:rPr>
          <w:b/>
        </w:rPr>
      </w:pPr>
    </w:p>
    <w:p w14:paraId="7F01F589"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 xml:space="preserve">genotype tests so that the results can be used to guide dosing </w:t>
      </w:r>
      <w:proofErr w:type="gramStart"/>
      <w:r w:rsidRPr="007F5874">
        <w:rPr>
          <w:rFonts w:cs="Times New Roman"/>
        </w:rPr>
        <w:t>of  _</w:t>
      </w:r>
      <w:proofErr w:type="gramEnd"/>
      <w:r w:rsidRPr="007F5874">
        <w:rPr>
          <w:rFonts w:cs="Times New Roman"/>
        </w:rPr>
        <w:t>____ [drug/s]. ------------------</w:t>
      </w:r>
    </w:p>
    <w:p w14:paraId="09358F0B"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r w:rsidR="00615408" w:rsidRPr="00615408">
        <w:t>w</w:t>
      </w:r>
      <w:r w:rsidR="00615408">
        <w:t>ww.cpicpgx.org</w:t>
      </w:r>
      <w:r w:rsidRPr="007F5874">
        <w:t>.</w:t>
      </w:r>
    </w:p>
    <w:p w14:paraId="66BD5FA7" w14:textId="77777777" w:rsidR="00944E35" w:rsidRPr="007F5874" w:rsidRDefault="00944E35" w:rsidP="00944E35">
      <w:pPr>
        <w:spacing w:line="480" w:lineRule="auto"/>
        <w:rPr>
          <w:rFonts w:cs="Times New Roman"/>
        </w:rPr>
      </w:pPr>
      <w:r w:rsidRPr="007F5874">
        <w:rPr>
          <w:rFonts w:cs="Times New Roman"/>
        </w:rPr>
        <w:t xml:space="preserve">------------------------------. </w:t>
      </w:r>
    </w:p>
    <w:p w14:paraId="0A0B6E86" w14:textId="77777777" w:rsidR="00944E35" w:rsidRPr="007F5874" w:rsidRDefault="00944E35" w:rsidP="00944E35">
      <w:pPr>
        <w:rPr>
          <w:b/>
        </w:rPr>
      </w:pPr>
      <w:r w:rsidRPr="007F5874">
        <w:rPr>
          <w:b/>
        </w:rPr>
        <w:t>Focused Literature Review</w:t>
      </w:r>
    </w:p>
    <w:p w14:paraId="739BD0E2" w14:textId="77777777" w:rsidR="00944E35" w:rsidRPr="007F5874" w:rsidRDefault="00944E35" w:rsidP="00944E35">
      <w:pPr>
        <w:rPr>
          <w:b/>
        </w:rPr>
      </w:pPr>
    </w:p>
    <w:p w14:paraId="3BA975DF"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were relied upon to summarize much of the earlier literature.</w:t>
      </w:r>
    </w:p>
    <w:p w14:paraId="6F1BCAF1" w14:textId="77777777" w:rsidR="00944E35" w:rsidRPr="007F5874" w:rsidRDefault="00944E35" w:rsidP="00944E35">
      <w:pPr>
        <w:rPr>
          <w:b/>
        </w:rPr>
      </w:pPr>
      <w:r w:rsidRPr="007F5874">
        <w:rPr>
          <w:b/>
        </w:rPr>
        <w:t>Drug (s)</w:t>
      </w:r>
      <w:r w:rsidR="007F1918" w:rsidRPr="007F5874">
        <w:rPr>
          <w:b/>
        </w:rPr>
        <w:t>:</w:t>
      </w:r>
    </w:p>
    <w:p w14:paraId="18458513" w14:textId="77777777" w:rsidR="007F1918" w:rsidRPr="007F5874" w:rsidRDefault="007F1918" w:rsidP="00944E35">
      <w:pPr>
        <w:rPr>
          <w:b/>
        </w:rPr>
      </w:pPr>
    </w:p>
    <w:p w14:paraId="3E0EF7C1" w14:textId="77777777" w:rsidR="00944E35" w:rsidRPr="007F5874" w:rsidRDefault="00944E35" w:rsidP="00944E35">
      <w:proofErr w:type="gramStart"/>
      <w:r w:rsidRPr="007F5874">
        <w:rPr>
          <w:i/>
        </w:rPr>
        <w:t>Background.</w:t>
      </w:r>
      <w:r w:rsidRPr="007F5874">
        <w:t>_</w:t>
      </w:r>
      <w:proofErr w:type="gramEnd"/>
      <w:r w:rsidRPr="007F5874">
        <w:t>______________</w:t>
      </w:r>
    </w:p>
    <w:p w14:paraId="5F437663"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3A21948C"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354C9DDF"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575133C6"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613C22DF" w14:textId="77777777" w:rsidR="00944E35" w:rsidRPr="007F5874" w:rsidRDefault="00944E35" w:rsidP="00944E35">
      <w:pPr>
        <w:tabs>
          <w:tab w:val="left" w:pos="990"/>
        </w:tabs>
        <w:spacing w:line="480" w:lineRule="auto"/>
        <w:rPr>
          <w:rFonts w:cs="Times New Roman"/>
          <w:b/>
        </w:rPr>
      </w:pPr>
    </w:p>
    <w:p w14:paraId="5B12AD16"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6870A4B" w14:textId="77777777" w:rsidR="00944E35" w:rsidRPr="007F5874" w:rsidRDefault="00944E35" w:rsidP="00944E35">
      <w:pPr>
        <w:tabs>
          <w:tab w:val="left" w:pos="990"/>
        </w:tabs>
        <w:spacing w:line="480" w:lineRule="auto"/>
        <w:rPr>
          <w:rFonts w:cs="Times New Roman"/>
        </w:rPr>
      </w:pPr>
      <w:r w:rsidRPr="007F5874">
        <w:rPr>
          <w:rFonts w:cs="Times New Roman"/>
        </w:rPr>
        <w:t>_______   Each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here [link to website]</w:t>
      </w:r>
      <w:r w:rsidRPr="007F5874">
        <w:rPr>
          <w:rFonts w:cs="Times New Roman"/>
        </w:rPr>
        <w:t>.</w:t>
      </w:r>
    </w:p>
    <w:p w14:paraId="35A2CF44" w14:textId="77777777"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41F62C75" w14:textId="77777777" w:rsidR="00944E35" w:rsidRPr="007F5874" w:rsidRDefault="00944E35" w:rsidP="00944E35">
      <w:pPr>
        <w:widowControl w:val="0"/>
        <w:autoSpaceDE w:val="0"/>
        <w:autoSpaceDN w:val="0"/>
        <w:adjustRightInd w:val="0"/>
        <w:spacing w:line="480" w:lineRule="auto"/>
        <w:rPr>
          <w:rFonts w:cs="Times New Roman"/>
        </w:rPr>
      </w:pPr>
    </w:p>
    <w:p w14:paraId="1C146CA8" w14:textId="2DFF4609"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r w:rsidR="002E0801" w:rsidRPr="002E0801">
        <w:t>https://www.ncbi.nlm.nih.gov/gtr/</w:t>
      </w:r>
      <w:r w:rsidRPr="007F5874">
        <w:rPr>
          <w:rFonts w:cs="Times New Roman"/>
        </w:rPr>
        <w:t xml:space="preserve">for more information on commercially available clinical testing options. </w:t>
      </w:r>
    </w:p>
    <w:p w14:paraId="56992EF0" w14:textId="77777777" w:rsidR="00944E35" w:rsidRPr="007F5874" w:rsidRDefault="00944E35" w:rsidP="00944E35">
      <w:pPr>
        <w:widowControl w:val="0"/>
        <w:autoSpaceDE w:val="0"/>
        <w:autoSpaceDN w:val="0"/>
        <w:adjustRightInd w:val="0"/>
        <w:spacing w:line="480" w:lineRule="auto"/>
        <w:rPr>
          <w:rFonts w:cs="Times New Roman"/>
        </w:rPr>
      </w:pPr>
    </w:p>
    <w:p w14:paraId="4DAA99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24BFAA0D"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67EB6C05" w14:textId="77777777" w:rsidR="00847EA7" w:rsidRPr="007F5874" w:rsidRDefault="00847EA7" w:rsidP="00944E35">
      <w:pPr>
        <w:widowControl w:val="0"/>
        <w:autoSpaceDE w:val="0"/>
        <w:autoSpaceDN w:val="0"/>
        <w:adjustRightInd w:val="0"/>
        <w:spacing w:line="480" w:lineRule="auto"/>
        <w:rPr>
          <w:rFonts w:cs="Times New Roman"/>
          <w:i/>
        </w:rPr>
      </w:pPr>
    </w:p>
    <w:p w14:paraId="4D9BD79A"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6EAB1C57" w14:textId="77777777" w:rsidR="00847EA7" w:rsidRPr="007F5874" w:rsidRDefault="00847EA7" w:rsidP="00944E35">
      <w:pPr>
        <w:widowControl w:val="0"/>
        <w:autoSpaceDE w:val="0"/>
        <w:autoSpaceDN w:val="0"/>
        <w:adjustRightInd w:val="0"/>
        <w:spacing w:line="480" w:lineRule="auto"/>
        <w:rPr>
          <w:rFonts w:cs="Times New Roman"/>
          <w:i/>
        </w:rPr>
      </w:pPr>
    </w:p>
    <w:p w14:paraId="356B16F0"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85BCD3A" w14:textId="7777777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4DD1452" w14:textId="77777777" w:rsidR="00944E35" w:rsidRPr="007F5874" w:rsidRDefault="00944E35" w:rsidP="00944E35">
      <w:pPr>
        <w:spacing w:line="480" w:lineRule="auto"/>
        <w:rPr>
          <w:rFonts w:cs="Times New Roman"/>
          <w:i/>
          <w:color w:val="000000" w:themeColor="text1"/>
        </w:rPr>
      </w:pPr>
    </w:p>
    <w:p w14:paraId="506156FE"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15339DF"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30DFF38F"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1A8F7CBC" w14:textId="77777777" w:rsidR="00944E35" w:rsidRPr="007F5874" w:rsidRDefault="00944E35" w:rsidP="00944E35">
      <w:pPr>
        <w:rPr>
          <w:rFonts w:cs="Times New Roman"/>
        </w:rPr>
      </w:pPr>
    </w:p>
    <w:p w14:paraId="0DB0EC3A" w14:textId="77777777" w:rsidR="00944E35" w:rsidRPr="007F5874" w:rsidRDefault="00944E35" w:rsidP="00944E35">
      <w:r w:rsidRPr="007F5874">
        <w:rPr>
          <w:i/>
        </w:rPr>
        <w:t xml:space="preserve">Recommendations for Incidental </w:t>
      </w:r>
      <w:proofErr w:type="gramStart"/>
      <w:r w:rsidRPr="007F5874">
        <w:rPr>
          <w:i/>
        </w:rPr>
        <w:t>Findings</w:t>
      </w:r>
      <w:r w:rsidRPr="007F5874">
        <w:rPr>
          <w:b/>
        </w:rPr>
        <w:t>._</w:t>
      </w:r>
      <w:proofErr w:type="gramEnd"/>
      <w:r w:rsidRPr="007F5874">
        <w:rPr>
          <w:b/>
        </w:rPr>
        <w:t>______________</w:t>
      </w:r>
    </w:p>
    <w:p w14:paraId="57631BD3" w14:textId="77777777" w:rsidR="00944E35" w:rsidRPr="007F5874" w:rsidRDefault="00944E35" w:rsidP="00944E35">
      <w:pPr>
        <w:spacing w:line="480" w:lineRule="auto"/>
        <w:rPr>
          <w:rFonts w:cs="Times New Roman"/>
        </w:rPr>
      </w:pPr>
    </w:p>
    <w:p w14:paraId="102F54AF" w14:textId="77777777" w:rsidR="00944E35" w:rsidRPr="007F5874" w:rsidRDefault="00944E35" w:rsidP="00944E35">
      <w:r w:rsidRPr="007F5874">
        <w:rPr>
          <w:i/>
        </w:rPr>
        <w:t xml:space="preserve">Other </w:t>
      </w:r>
      <w:proofErr w:type="gramStart"/>
      <w:r w:rsidRPr="007F5874">
        <w:rPr>
          <w:i/>
        </w:rPr>
        <w:t>considerations</w:t>
      </w:r>
      <w:r w:rsidRPr="007F5874">
        <w:rPr>
          <w:b/>
        </w:rPr>
        <w:t>._</w:t>
      </w:r>
      <w:proofErr w:type="gramEnd"/>
      <w:r w:rsidRPr="007F5874">
        <w:rPr>
          <w:b/>
        </w:rPr>
        <w:t>_________________</w:t>
      </w:r>
    </w:p>
    <w:p w14:paraId="02D067B0" w14:textId="77777777" w:rsidR="00944E35" w:rsidRPr="007F5874" w:rsidRDefault="00944E35" w:rsidP="00944E35">
      <w:pPr>
        <w:spacing w:line="480" w:lineRule="auto"/>
        <w:rPr>
          <w:rFonts w:cs="Times New Roman"/>
          <w:b/>
        </w:rPr>
      </w:pPr>
      <w:r w:rsidRPr="007F5874">
        <w:rPr>
          <w:rFonts w:cs="Times New Roman"/>
          <w:b/>
        </w:rPr>
        <w:t xml:space="preserve">  </w:t>
      </w:r>
    </w:p>
    <w:p w14:paraId="10268190" w14:textId="77777777" w:rsidR="00944E35" w:rsidRPr="007F5874" w:rsidRDefault="00944E35" w:rsidP="00944E35">
      <w:pPr>
        <w:spacing w:line="480" w:lineRule="auto"/>
        <w:rPr>
          <w:rFonts w:cs="Times New Roman"/>
          <w:b/>
        </w:rPr>
      </w:pPr>
    </w:p>
    <w:p w14:paraId="304534C0"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6A058682"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7106247B" w14:textId="77777777" w:rsidR="00944E35" w:rsidRPr="007F5874" w:rsidRDefault="00944E35" w:rsidP="00944E35">
      <w:pPr>
        <w:spacing w:line="480" w:lineRule="auto"/>
        <w:rPr>
          <w:rFonts w:cs="Times New Roman"/>
          <w:b/>
        </w:rPr>
      </w:pPr>
    </w:p>
    <w:p w14:paraId="13B27B2C"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412BFD75" w14:textId="77777777" w:rsidR="00944E35" w:rsidRPr="007F5874" w:rsidRDefault="00944E35" w:rsidP="00944E35">
      <w:r w:rsidRPr="007F5874">
        <w:t>________________</w:t>
      </w:r>
    </w:p>
    <w:p w14:paraId="4FA74D5E" w14:textId="77777777" w:rsidR="00944E35" w:rsidRPr="007F5874" w:rsidRDefault="00944E35" w:rsidP="00944E35">
      <w:pPr>
        <w:rPr>
          <w:rFonts w:cs="Times New Roman"/>
          <w:b/>
        </w:rPr>
      </w:pPr>
    </w:p>
    <w:p w14:paraId="604FDD26"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72E3D803"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w:t>
      </w:r>
      <w:r w:rsidRPr="007F5874">
        <w:rPr>
          <w:rFonts w:cs="Times New Roman"/>
        </w:rPr>
        <w:lastRenderedPageBreak/>
        <w:t>application to be solely made by the clinician and the patient. CPIC assumes no responsibility for any injury to persons or damage to property related to any use of CPIC's guidelines, or for any errors or omissions.</w:t>
      </w:r>
    </w:p>
    <w:p w14:paraId="29E2E9CC" w14:textId="77777777" w:rsidR="00944E35" w:rsidRPr="007F5874" w:rsidRDefault="00944E35" w:rsidP="00944E35">
      <w:pPr>
        <w:rPr>
          <w:rFonts w:cs="Times New Roman"/>
          <w:b/>
        </w:rPr>
      </w:pPr>
    </w:p>
    <w:p w14:paraId="012FF095" w14:textId="77777777" w:rsidR="00944E35" w:rsidRPr="007F5874" w:rsidRDefault="00944E35" w:rsidP="00944E35">
      <w:pPr>
        <w:rPr>
          <w:rFonts w:cs="Times New Roman"/>
          <w:b/>
        </w:rPr>
      </w:pPr>
    </w:p>
    <w:p w14:paraId="272D43D2" w14:textId="77777777" w:rsidR="00944E35" w:rsidRPr="007F5874" w:rsidRDefault="00944E35" w:rsidP="00944E35">
      <w:r w:rsidRPr="007F5874">
        <w:t>Acknowledgement</w:t>
      </w:r>
    </w:p>
    <w:p w14:paraId="0E8F91E8" w14:textId="77777777" w:rsidR="00944E35" w:rsidRPr="007F5874" w:rsidRDefault="00944E35" w:rsidP="00944E35"/>
    <w:p w14:paraId="34DD1C41" w14:textId="77777777" w:rsidR="00944E35" w:rsidRPr="007F5874" w:rsidRDefault="00944E35" w:rsidP="00944E35">
      <w:r w:rsidRPr="007F5874">
        <w:t xml:space="preserve">Conflict of Interest </w:t>
      </w:r>
    </w:p>
    <w:p w14:paraId="2191B6D4"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6E1FB09A" w14:textId="77777777" w:rsidR="00944E35" w:rsidRPr="007F5874" w:rsidRDefault="00944E35" w:rsidP="00944E35"/>
    <w:p w14:paraId="50C6F460" w14:textId="77777777" w:rsidR="00944E35" w:rsidRPr="007F5874" w:rsidRDefault="00944E35" w:rsidP="00944E35">
      <w:pPr>
        <w:rPr>
          <w:rFonts w:cs="Times New Roman"/>
        </w:rPr>
      </w:pPr>
    </w:p>
    <w:p w14:paraId="7B99E2CF" w14:textId="77777777" w:rsidR="00944E35" w:rsidRPr="007F5874" w:rsidRDefault="00944E35" w:rsidP="00944E35">
      <w:pPr>
        <w:rPr>
          <w:rFonts w:cs="Times New Roman"/>
          <w:lang w:bidi="en-US"/>
        </w:rPr>
      </w:pPr>
      <w:r w:rsidRPr="007F5874">
        <w:rPr>
          <w:rFonts w:cs="Times New Roman"/>
          <w:b/>
          <w:u w:val="single"/>
          <w:lang w:bidi="en-US"/>
        </w:rPr>
        <w:t>REFERENCES</w:t>
      </w:r>
    </w:p>
    <w:p w14:paraId="599F1A88"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1EF11C98" w14:textId="77777777" w:rsidTr="005C7246">
        <w:tc>
          <w:tcPr>
            <w:tcW w:w="8856" w:type="dxa"/>
            <w:gridSpan w:val="3"/>
          </w:tcPr>
          <w:p w14:paraId="47C9ACA5"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6AEB8526" w14:textId="77777777" w:rsidTr="005C7246">
        <w:tc>
          <w:tcPr>
            <w:tcW w:w="3046" w:type="dxa"/>
          </w:tcPr>
          <w:p w14:paraId="22E2C737" w14:textId="77777777" w:rsidR="005C7246" w:rsidRPr="00333360" w:rsidRDefault="005C7246" w:rsidP="005C7246">
            <w:pPr>
              <w:rPr>
                <w:rFonts w:cs="Times New Roman"/>
                <w:b/>
              </w:rPr>
            </w:pPr>
            <w:r w:rsidRPr="00333360">
              <w:rPr>
                <w:rFonts w:cs="Times New Roman"/>
                <w:b/>
              </w:rPr>
              <w:t>Likely Phenotype</w:t>
            </w:r>
          </w:p>
        </w:tc>
        <w:tc>
          <w:tcPr>
            <w:tcW w:w="3050" w:type="dxa"/>
          </w:tcPr>
          <w:p w14:paraId="71015435" w14:textId="77777777" w:rsidR="005C7246" w:rsidRPr="00333360" w:rsidRDefault="005C7246" w:rsidP="005C7246">
            <w:pPr>
              <w:rPr>
                <w:rFonts w:cs="Times New Roman"/>
                <w:b/>
              </w:rPr>
            </w:pPr>
            <w:r w:rsidRPr="00333360">
              <w:rPr>
                <w:rFonts w:cs="Times New Roman"/>
                <w:b/>
              </w:rPr>
              <w:t>Genotypes</w:t>
            </w:r>
          </w:p>
        </w:tc>
        <w:tc>
          <w:tcPr>
            <w:tcW w:w="2760" w:type="dxa"/>
          </w:tcPr>
          <w:p w14:paraId="5B085D2E"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26B99BC9" w14:textId="77777777" w:rsidTr="005C7246">
        <w:tc>
          <w:tcPr>
            <w:tcW w:w="3046" w:type="dxa"/>
          </w:tcPr>
          <w:p w14:paraId="68600208" w14:textId="77777777"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463AD73B" w14:textId="7777777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5A5FC29B" w14:textId="77777777"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041BC308" w14:textId="77777777" w:rsidTr="005C7246">
        <w:tc>
          <w:tcPr>
            <w:tcW w:w="3046" w:type="dxa"/>
          </w:tcPr>
          <w:p w14:paraId="399A41F1" w14:textId="77777777"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6DE07ECF" w14:textId="352E8C0E"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002D018E">
              <w:rPr>
                <w:rFonts w:cs="Times New Roman"/>
              </w:rPr>
              <w:t xml:space="preserve"> </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586DB73F" w14:textId="77777777" w:rsidR="00FE7C94" w:rsidRPr="00AB6004" w:rsidRDefault="00FE7C94" w:rsidP="005C7246">
            <w:pPr>
              <w:jc w:val="both"/>
              <w:rPr>
                <w:rFonts w:cs="Times New Roman"/>
                <w:i/>
              </w:rPr>
            </w:pPr>
            <w:r w:rsidRPr="00333360">
              <w:rPr>
                <w:rFonts w:cs="Times New Roman"/>
                <w:i/>
              </w:rPr>
              <w:t>*1/*17</w:t>
            </w:r>
          </w:p>
        </w:tc>
      </w:tr>
      <w:tr w:rsidR="005C7246" w:rsidRPr="00333360" w14:paraId="3D304844" w14:textId="77777777" w:rsidTr="005C7246">
        <w:tc>
          <w:tcPr>
            <w:tcW w:w="3046" w:type="dxa"/>
          </w:tcPr>
          <w:p w14:paraId="3815C6E6" w14:textId="77777777"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67C39DA" w14:textId="77777777"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56C420EF" w14:textId="77777777" w:rsidR="005C7246" w:rsidRPr="00040077" w:rsidRDefault="005C7246" w:rsidP="005C7246">
            <w:pPr>
              <w:jc w:val="both"/>
              <w:rPr>
                <w:rFonts w:cs="Times New Roman"/>
                <w:i/>
              </w:rPr>
            </w:pPr>
            <w:r w:rsidRPr="00040077">
              <w:rPr>
                <w:rFonts w:cs="Times New Roman"/>
                <w:i/>
              </w:rPr>
              <w:t>*1/*1</w:t>
            </w:r>
          </w:p>
        </w:tc>
      </w:tr>
      <w:tr w:rsidR="005C7246" w:rsidRPr="00333360" w14:paraId="48F0CC11" w14:textId="77777777" w:rsidTr="005C7246">
        <w:tc>
          <w:tcPr>
            <w:tcW w:w="3046" w:type="dxa"/>
          </w:tcPr>
          <w:p w14:paraId="00513193" w14:textId="77777777"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5E771D9" w14:textId="55BFC52F"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bookmarkStart w:id="33" w:name="OLE_LINK3"/>
            <w:bookmarkStart w:id="34" w:name="OLE_LINK4"/>
            <w:r w:rsidR="00E80B3A" w:rsidRPr="00AB6004">
              <w:rPr>
                <w:rFonts w:cs="Times New Roman"/>
              </w:rPr>
              <w:t>one no</w:t>
            </w:r>
            <w:r w:rsidR="00FE7C94" w:rsidRPr="00AB6004">
              <w:rPr>
                <w:rFonts w:cs="Times New Roman"/>
              </w:rPr>
              <w:t xml:space="preserve"> function allele</w:t>
            </w:r>
            <w:r w:rsidR="002D018E">
              <w:rPr>
                <w:rFonts w:cs="Times New Roman"/>
              </w:rPr>
              <w:t xml:space="preserve"> </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3"/>
            <w:bookmarkEnd w:id="34"/>
          </w:p>
        </w:tc>
        <w:tc>
          <w:tcPr>
            <w:tcW w:w="2760" w:type="dxa"/>
          </w:tcPr>
          <w:p w14:paraId="5B077A6F" w14:textId="77777777" w:rsidR="005C7246" w:rsidRPr="00040077" w:rsidRDefault="005C7246" w:rsidP="00FE7C94">
            <w:pPr>
              <w:rPr>
                <w:rFonts w:cs="Times New Roman"/>
                <w:i/>
              </w:rPr>
            </w:pPr>
            <w:r w:rsidRPr="00040077">
              <w:rPr>
                <w:rFonts w:cs="Times New Roman"/>
                <w:i/>
              </w:rPr>
              <w:t xml:space="preserve">*1/*2, *1/*3, </w:t>
            </w:r>
          </w:p>
        </w:tc>
      </w:tr>
      <w:tr w:rsidR="005C7246" w:rsidRPr="00333360" w14:paraId="2087F6A8" w14:textId="77777777" w:rsidTr="005C7246">
        <w:tc>
          <w:tcPr>
            <w:tcW w:w="3046" w:type="dxa"/>
          </w:tcPr>
          <w:p w14:paraId="58D1768D" w14:textId="77777777"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76BDD8E9" w14:textId="77777777"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6C374CBE" w14:textId="77777777" w:rsidR="005C7246" w:rsidRPr="00040077" w:rsidRDefault="00333360" w:rsidP="005C7246">
            <w:pPr>
              <w:rPr>
                <w:rFonts w:cs="Times New Roman"/>
                <w:i/>
              </w:rPr>
            </w:pPr>
            <w:r w:rsidRPr="00040077">
              <w:rPr>
                <w:rFonts w:cs="Times New Roman"/>
                <w:i/>
              </w:rPr>
              <w:t>*2/*2, *3/*3</w:t>
            </w:r>
          </w:p>
        </w:tc>
      </w:tr>
    </w:tbl>
    <w:p w14:paraId="1B0E5896" w14:textId="77777777" w:rsidR="005C7246" w:rsidRPr="007F5874" w:rsidRDefault="005C7246" w:rsidP="0022696A"/>
    <w:p w14:paraId="106925E5"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172D0AB4"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2CDF8CE5"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0E3825D4"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3600693E"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48D23ECC"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44BFF8B1"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3B47D50"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7B30AF29"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B0FFF99"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4FCD524B"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12DAEC8D"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73B1A6E0"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015BCE6C"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3A0AC03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497C62DB"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43E95A4D"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6A3A27A4"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540FBF74"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2091A5B6"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15BCB8ED"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40F077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4F9EDA0A"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 xml:space="preserve">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1C1FA21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049A8B9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37E94ED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0C831A34"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1C90ECE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7EDDDDC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719F5DBF"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0E8EF430" w14:textId="77777777"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1D3A8A5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69D9E838"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67AEAA8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D0AC06"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A6437C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41BB84DC"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51E4CA0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1277424"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6A0B2B5E"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09DC4BF8" w14:textId="77777777"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635B2C0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BB40412"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040CFAFD"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105643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46E2ADE8"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013676E7"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17C1DC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 xml:space="preserve">/d </w:t>
            </w:r>
            <w:proofErr w:type="gramStart"/>
            <w:r w:rsidRPr="007F5874">
              <w:rPr>
                <w:rFonts w:eastAsia="Times New Roman" w:cs="Times New Roman"/>
                <w:color w:val="000000"/>
              </w:rPr>
              <w:t>or  _</w:t>
            </w:r>
            <w:proofErr w:type="gramEnd"/>
            <w:r w:rsidRPr="007F5874">
              <w:rPr>
                <w:rFonts w:eastAsia="Times New Roman" w:cs="Times New Roman"/>
                <w:color w:val="000000"/>
              </w:rPr>
              <w:t>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18F85C2"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498BAD12"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0E7B6DB3" w14:textId="77777777" w:rsidR="005C7246" w:rsidRPr="007F5874" w:rsidRDefault="005C7246" w:rsidP="0022696A">
      <w:r w:rsidRPr="007F5874">
        <w:lastRenderedPageBreak/>
        <w:t xml:space="preserve"> </w:t>
      </w:r>
    </w:p>
    <w:p w14:paraId="302C1D8E" w14:textId="77777777" w:rsidR="005C7246" w:rsidRPr="007F5874" w:rsidRDefault="005C7246" w:rsidP="0022696A">
      <w:r w:rsidRPr="007F5874">
        <w:t>Figure 1 (optional)</w:t>
      </w:r>
      <w:r w:rsidR="00521FF1" w:rsidRPr="007F5874">
        <w:t xml:space="preserve"> Example</w:t>
      </w:r>
    </w:p>
    <w:p w14:paraId="2776ACE6" w14:textId="77777777" w:rsidR="005C7246" w:rsidRPr="007F5874" w:rsidRDefault="005C7246" w:rsidP="0022696A"/>
    <w:p w14:paraId="0ED3C501" w14:textId="77777777" w:rsidR="005C7246" w:rsidRPr="007F5874" w:rsidRDefault="005C7246" w:rsidP="005C7246">
      <w:pPr>
        <w:rPr>
          <w:rFonts w:cs="Times New Roman"/>
        </w:rPr>
      </w:pPr>
    </w:p>
    <w:p w14:paraId="6D397BD8" w14:textId="77777777" w:rsidR="005C7246" w:rsidRPr="007F5874" w:rsidRDefault="005C7246" w:rsidP="005C7246">
      <w:pPr>
        <w:rPr>
          <w:rFonts w:cs="Times New Roman"/>
        </w:rPr>
      </w:pPr>
    </w:p>
    <w:p w14:paraId="51510E6B" w14:textId="77777777" w:rsidR="00C819BF" w:rsidRPr="007F5874" w:rsidRDefault="00BD22A2" w:rsidP="00A75544">
      <w:pPr>
        <w:rPr>
          <w:rFonts w:cs="Times New Roman"/>
        </w:rPr>
      </w:pPr>
      <w:r w:rsidRPr="007F5874">
        <w:rPr>
          <w:rFonts w:cs="Times New Roman"/>
        </w:rPr>
        <w:t xml:space="preserve"> </w:t>
      </w:r>
    </w:p>
    <w:p w14:paraId="2DA30FF0"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73340657" wp14:editId="2DE41A70">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63A747B2" w14:textId="77777777" w:rsidR="00A53D4F" w:rsidRPr="007F5874" w:rsidRDefault="00DE0E01" w:rsidP="008E0ADA">
      <w:pPr>
        <w:pStyle w:val="Heading1"/>
      </w:pPr>
      <w:bookmarkStart w:id="35" w:name="_APPENDIX_B:_Supplemental"/>
      <w:bookmarkStart w:id="36" w:name="_Toc13059462"/>
      <w:bookmarkEnd w:id="35"/>
      <w:r w:rsidRPr="007F5874">
        <w:lastRenderedPageBreak/>
        <w:t xml:space="preserve">APPENDIX B: </w:t>
      </w:r>
      <w:r w:rsidR="00175968" w:rsidRPr="007F5874">
        <w:t>Supplemental Material</w:t>
      </w:r>
      <w:r w:rsidRPr="007F5874">
        <w:t xml:space="preserve"> Template</w:t>
      </w:r>
      <w:bookmarkEnd w:id="36"/>
    </w:p>
    <w:p w14:paraId="23766BE1" w14:textId="77777777" w:rsidR="00175968" w:rsidRPr="007F5874" w:rsidRDefault="00175968" w:rsidP="0022696A"/>
    <w:p w14:paraId="11156604" w14:textId="77777777" w:rsidR="00175968" w:rsidRPr="007F5874" w:rsidRDefault="00175968" w:rsidP="00175968">
      <w:pPr>
        <w:rPr>
          <w:rFonts w:cs="Times New Roman"/>
        </w:rPr>
      </w:pPr>
    </w:p>
    <w:p w14:paraId="7CF761AB" w14:textId="77777777"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396AE27F" w14:textId="77777777" w:rsidR="00175968" w:rsidRPr="007F5874" w:rsidRDefault="00175968" w:rsidP="00175968">
      <w:pPr>
        <w:widowControl w:val="0"/>
        <w:autoSpaceDE w:val="0"/>
        <w:autoSpaceDN w:val="0"/>
        <w:adjustRightInd w:val="0"/>
        <w:ind w:left="90"/>
        <w:rPr>
          <w:rFonts w:cs="Times New Roman"/>
        </w:rPr>
      </w:pPr>
    </w:p>
    <w:p w14:paraId="547FE1E6" w14:textId="77777777" w:rsidR="00175968" w:rsidRPr="007F5874" w:rsidRDefault="00175968" w:rsidP="00175968">
      <w:pPr>
        <w:widowControl w:val="0"/>
        <w:autoSpaceDE w:val="0"/>
        <w:autoSpaceDN w:val="0"/>
        <w:adjustRightInd w:val="0"/>
        <w:ind w:left="90"/>
        <w:rPr>
          <w:rFonts w:cs="Times New Roman"/>
        </w:rPr>
      </w:pPr>
    </w:p>
    <w:p w14:paraId="490A247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25270437" w14:textId="77777777" w:rsidR="00175968" w:rsidRPr="007F5874" w:rsidRDefault="00175968" w:rsidP="00175968">
      <w:pPr>
        <w:widowControl w:val="0"/>
        <w:autoSpaceDE w:val="0"/>
        <w:autoSpaceDN w:val="0"/>
        <w:adjustRightInd w:val="0"/>
        <w:ind w:left="90"/>
        <w:rPr>
          <w:rFonts w:cs="Times New Roman"/>
        </w:rPr>
      </w:pPr>
    </w:p>
    <w:p w14:paraId="64D970EB" w14:textId="77777777" w:rsidR="00175968" w:rsidRPr="007F5874" w:rsidRDefault="00175968" w:rsidP="00175968">
      <w:pPr>
        <w:widowControl w:val="0"/>
        <w:autoSpaceDE w:val="0"/>
        <w:autoSpaceDN w:val="0"/>
        <w:adjustRightInd w:val="0"/>
        <w:ind w:left="90"/>
        <w:rPr>
          <w:rFonts w:cs="Times New Roman"/>
        </w:rPr>
      </w:pPr>
    </w:p>
    <w:p w14:paraId="04CDD765"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67CCE002" w14:textId="77777777" w:rsidR="00175968" w:rsidRPr="007F5874" w:rsidRDefault="00175968">
      <w:pPr>
        <w:rPr>
          <w:rFonts w:cs="Times New Roman"/>
          <w:lang w:bidi="en-US"/>
        </w:rPr>
      </w:pPr>
    </w:p>
    <w:p w14:paraId="39BA8DE9" w14:textId="77777777" w:rsidR="00175968" w:rsidRPr="007F5874" w:rsidRDefault="00175968">
      <w:pPr>
        <w:rPr>
          <w:rFonts w:cs="Times New Roman"/>
          <w:lang w:bidi="en-US"/>
        </w:rPr>
      </w:pPr>
    </w:p>
    <w:p w14:paraId="44E2EDAC" w14:textId="77777777" w:rsidR="00175968" w:rsidRPr="007F5874" w:rsidRDefault="00175968">
      <w:pPr>
        <w:rPr>
          <w:rFonts w:cs="Times New Roman"/>
          <w:lang w:bidi="en-US"/>
        </w:rPr>
      </w:pPr>
    </w:p>
    <w:p w14:paraId="50C4CB01" w14:textId="77777777" w:rsidR="00175968" w:rsidRPr="007F5874" w:rsidRDefault="00175968">
      <w:pPr>
        <w:rPr>
          <w:rFonts w:cs="Times New Roman"/>
          <w:lang w:bidi="en-US"/>
        </w:rPr>
      </w:pPr>
    </w:p>
    <w:p w14:paraId="28ACD84E" w14:textId="77777777" w:rsidR="00175968" w:rsidRPr="007F5874" w:rsidRDefault="00175968">
      <w:pPr>
        <w:rPr>
          <w:rFonts w:cs="Times New Roman"/>
          <w:lang w:bidi="en-US"/>
        </w:rPr>
      </w:pPr>
    </w:p>
    <w:p w14:paraId="09F2F43E" w14:textId="77777777" w:rsidR="00175968" w:rsidRPr="007F5874" w:rsidRDefault="00175968">
      <w:pPr>
        <w:rPr>
          <w:rFonts w:cs="Times New Roman"/>
          <w:lang w:bidi="en-US"/>
        </w:rPr>
      </w:pPr>
    </w:p>
    <w:p w14:paraId="4890A213" w14:textId="77777777" w:rsidR="00175968" w:rsidRPr="007F5874" w:rsidRDefault="00175968">
      <w:pPr>
        <w:rPr>
          <w:rFonts w:cs="Times New Roman"/>
          <w:lang w:bidi="en-US"/>
        </w:rPr>
      </w:pPr>
    </w:p>
    <w:p w14:paraId="6FA68B8A" w14:textId="77777777" w:rsidR="00175968" w:rsidRPr="007F5874" w:rsidRDefault="00175968">
      <w:pPr>
        <w:rPr>
          <w:rFonts w:cs="Times New Roman"/>
          <w:lang w:bidi="en-US"/>
        </w:rPr>
      </w:pPr>
    </w:p>
    <w:p w14:paraId="634428C3" w14:textId="77777777" w:rsidR="00175968" w:rsidRPr="007F5874" w:rsidRDefault="00175968">
      <w:pPr>
        <w:rPr>
          <w:rFonts w:cs="Times New Roman"/>
          <w:lang w:bidi="en-US"/>
        </w:rPr>
      </w:pPr>
    </w:p>
    <w:p w14:paraId="48DCB5F4" w14:textId="77777777" w:rsidR="00175968" w:rsidRPr="007F5874" w:rsidRDefault="00175968">
      <w:pPr>
        <w:rPr>
          <w:rFonts w:cs="Times New Roman"/>
          <w:lang w:bidi="en-US"/>
        </w:rPr>
      </w:pPr>
    </w:p>
    <w:p w14:paraId="563D27CF" w14:textId="77777777" w:rsidR="00175968" w:rsidRPr="007F5874" w:rsidRDefault="00175968">
      <w:pPr>
        <w:rPr>
          <w:rFonts w:cs="Times New Roman"/>
          <w:lang w:bidi="en-US"/>
        </w:rPr>
      </w:pPr>
    </w:p>
    <w:p w14:paraId="032D05B2" w14:textId="77777777" w:rsidR="00175968" w:rsidRPr="007F5874" w:rsidRDefault="00175968">
      <w:pPr>
        <w:rPr>
          <w:rFonts w:cs="Times New Roman"/>
          <w:b/>
          <w:lang w:bidi="en-US"/>
        </w:rPr>
      </w:pPr>
      <w:r w:rsidRPr="007F5874">
        <w:rPr>
          <w:rFonts w:cs="Times New Roman"/>
          <w:b/>
          <w:lang w:bidi="en-US"/>
        </w:rPr>
        <w:t>Literature Review:</w:t>
      </w:r>
    </w:p>
    <w:p w14:paraId="71403ACE" w14:textId="77777777"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481CD312" w14:textId="77777777" w:rsidR="00175968" w:rsidRPr="007F5874" w:rsidRDefault="00175968" w:rsidP="00175968">
      <w:pPr>
        <w:rPr>
          <w:rFonts w:cs="Times New Roman"/>
          <w:lang w:bidi="en-US"/>
        </w:rPr>
      </w:pPr>
    </w:p>
    <w:p w14:paraId="14DA290A" w14:textId="77777777" w:rsidR="00175968" w:rsidRPr="007F5874" w:rsidRDefault="00175968" w:rsidP="00175968">
      <w:pPr>
        <w:rPr>
          <w:rFonts w:cs="Times New Roman"/>
          <w:b/>
        </w:rPr>
      </w:pPr>
      <w:r w:rsidRPr="007F5874">
        <w:rPr>
          <w:rFonts w:cs="Times New Roman"/>
          <w:b/>
        </w:rPr>
        <w:t>Genetic Test Interpretation</w:t>
      </w:r>
    </w:p>
    <w:p w14:paraId="106533C3" w14:textId="4B6CEAA3"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w:t>
      </w:r>
    </w:p>
    <w:p w14:paraId="157F6C20" w14:textId="2C723BCB"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w:t>
      </w:r>
      <w:proofErr w:type="gramStart"/>
      <w:r w:rsidRPr="007F5874">
        <w:rPr>
          <w:rFonts w:cs="Times New Roman"/>
        </w:rPr>
        <w:t>is</w:t>
      </w:r>
      <w:proofErr w:type="gramEnd"/>
      <w:r w:rsidRPr="007F5874">
        <w:rPr>
          <w:rFonts w:cs="Times New Roman"/>
        </w:rPr>
        <w:t xml:space="preserve"> summarized </w:t>
      </w:r>
      <w:r w:rsidR="00333360">
        <w:rPr>
          <w:rFonts w:cs="Times New Roman"/>
        </w:rPr>
        <w:t>at [appropriate gene PharmGKB page</w:t>
      </w:r>
      <w:r w:rsidR="00B230E0">
        <w:rPr>
          <w:rFonts w:cs="Times New Roman"/>
        </w:rPr>
        <w:t xml:space="preserve"> and CPIC page</w:t>
      </w:r>
      <w:r w:rsidR="00333360">
        <w:rPr>
          <w:rFonts w:cs="Times New Roman"/>
        </w:rPr>
        <w:t>]</w:t>
      </w:r>
      <w:r w:rsidRPr="007F5874">
        <w:rPr>
          <w:rFonts w:cs="Times New Roman"/>
        </w:rPr>
        <w:t>. ______________________</w:t>
      </w:r>
    </w:p>
    <w:p w14:paraId="5463C883" w14:textId="77777777" w:rsidR="00175968" w:rsidRPr="007F5874" w:rsidRDefault="00175968" w:rsidP="00175968">
      <w:pPr>
        <w:tabs>
          <w:tab w:val="left" w:pos="990"/>
        </w:tabs>
        <w:rPr>
          <w:rFonts w:cs="Times New Roman"/>
          <w:b/>
          <w:lang w:bidi="en-US"/>
        </w:rPr>
      </w:pPr>
    </w:p>
    <w:p w14:paraId="13102EF9"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2717A7F8" w14:textId="77777777" w:rsidR="00FA7786" w:rsidRDefault="00FA7786" w:rsidP="00FA7786">
      <w:pPr>
        <w:tabs>
          <w:tab w:val="left" w:pos="990"/>
        </w:tabs>
        <w:rPr>
          <w:rFonts w:cs="Times New Roman"/>
          <w:lang w:bidi="en-US"/>
        </w:rPr>
      </w:pPr>
      <w:r w:rsidRPr="007F5874">
        <w:rPr>
          <w:rFonts w:cs="Times New Roman"/>
          <w:lang w:bidi="en-US"/>
        </w:rPr>
        <w:t xml:space="preserve">Commercially available genetic testing options change over time. Below is some information that may assist in evaluating options.  _____________________________________. </w:t>
      </w:r>
    </w:p>
    <w:p w14:paraId="51939DD9" w14:textId="77777777" w:rsidR="00FA7786" w:rsidRDefault="00FA7786" w:rsidP="00FA7786">
      <w:pPr>
        <w:tabs>
          <w:tab w:val="left" w:pos="990"/>
        </w:tabs>
        <w:ind w:firstLine="720"/>
        <w:rPr>
          <w:rFonts w:cs="Times New Roman"/>
          <w:lang w:bidi="en-US"/>
        </w:rPr>
      </w:pPr>
    </w:p>
    <w:p w14:paraId="271B75FC" w14:textId="77777777" w:rsidR="00FA7786" w:rsidRDefault="00FA7786" w:rsidP="00FA7786">
      <w:pPr>
        <w:tabs>
          <w:tab w:val="left" w:pos="990"/>
        </w:tabs>
        <w:rPr>
          <w:rFonts w:cs="Times New Roman"/>
          <w:lang w:bidi="en-US"/>
        </w:rPr>
      </w:pPr>
      <w:r>
        <w:rPr>
          <w:rFonts w:cs="Times New Roman"/>
          <w:lang w:bidi="en-US"/>
        </w:rPr>
        <w:lastRenderedPageBreak/>
        <w:t>Desirable characteristics of</w:t>
      </w:r>
      <w:r w:rsidRPr="00C120E6">
        <w:rPr>
          <w:rFonts w:cs="Times New Roman"/>
          <w:lang w:bidi="en-US"/>
        </w:rPr>
        <w:t xml:space="preserve"> </w:t>
      </w:r>
      <w:r>
        <w:rPr>
          <w:rFonts w:cs="Times New Roman"/>
          <w:lang w:bidi="en-US"/>
        </w:rPr>
        <w:t xml:space="preserve">pharmacogenetic tests, including naming of alleles and test report contents, have been extensively reviewed by an international group, including CPIC </w:t>
      </w:r>
      <w:proofErr w:type="gramStart"/>
      <w:r>
        <w:rPr>
          <w:rFonts w:cs="Times New Roman"/>
          <w:lang w:bidi="en-US"/>
        </w:rPr>
        <w:t>members</w:t>
      </w:r>
      <w:r>
        <w:t>.[</w:t>
      </w:r>
      <w:proofErr w:type="gramEnd"/>
      <w:r w:rsidRPr="002B7652">
        <w:rPr>
          <w:rFonts w:cs="Times New Roman"/>
          <w:lang w:bidi="en-US"/>
        </w:rPr>
        <w:t>PMID: 26479518</w:t>
      </w:r>
      <w:r>
        <w:rPr>
          <w:rFonts w:cs="Times New Roman"/>
          <w:lang w:bidi="en-US"/>
        </w:rPr>
        <w:t>] CPIC recommends that clinical laboratories adhere to these test reporting standards. CPIC gene-specific tables</w:t>
      </w:r>
      <w:r w:rsidRPr="002B7652">
        <w:rPr>
          <w:rFonts w:cs="Times New Roman"/>
          <w:lang w:bidi="en-US"/>
        </w:rPr>
        <w:t xml:space="preserve"> </w:t>
      </w:r>
      <w:r>
        <w:rPr>
          <w:rFonts w:cs="Times New Roman"/>
          <w:lang w:bidi="en-US"/>
        </w:rPr>
        <w:t>(see Allele Definition Table (hyperlink) and Allele Functionality Table (hyperlink) and Frequency Table (hyperlink)) adhere to these allele nomenclature standards.[</w:t>
      </w:r>
      <w:r w:rsidRPr="00C120E6">
        <w:rPr>
          <w:rFonts w:cs="Times New Roman"/>
          <w:lang w:bidi="en-US"/>
        </w:rPr>
        <w:t>PMID: 26479518</w:t>
      </w:r>
      <w:r>
        <w:rPr>
          <w:rFonts w:cs="Times New Roman"/>
          <w:lang w:bidi="en-US"/>
        </w:rPr>
        <w:t>] Moreover, the Allele Definition, Functionality, and Frequency Tables may be used to assemble lists of known functional and actionable pharmacogenetic variants and their population frequencies, which may inform decisions as to whether tests are adequately comprehensive in interrogations of alleles.</w:t>
      </w:r>
    </w:p>
    <w:p w14:paraId="638A0A74" w14:textId="77777777" w:rsidR="00FA7786" w:rsidRDefault="00FA7786" w:rsidP="00FA7786">
      <w:pPr>
        <w:tabs>
          <w:tab w:val="left" w:pos="990"/>
        </w:tabs>
        <w:rPr>
          <w:rFonts w:cs="Times New Roman"/>
          <w:lang w:bidi="en-US"/>
        </w:rPr>
      </w:pPr>
    </w:p>
    <w:p w14:paraId="41BFF00A" w14:textId="77777777" w:rsidR="00FA7786" w:rsidRPr="00C120E6" w:rsidRDefault="00FA7786" w:rsidP="00FA7786">
      <w:pPr>
        <w:tabs>
          <w:tab w:val="left" w:pos="990"/>
        </w:tabs>
        <w:rPr>
          <w:rFonts w:cs="Times New Roman"/>
          <w:i/>
          <w:lang w:bidi="en-US"/>
        </w:rPr>
      </w:pPr>
      <w:r>
        <w:rPr>
          <w:rFonts w:cs="Times New Roman"/>
          <w:i/>
          <w:lang w:bidi="en-US"/>
        </w:rPr>
        <w:t xml:space="preserve">[Examples of </w:t>
      </w:r>
      <w:r w:rsidRPr="00C120E6">
        <w:rPr>
          <w:rFonts w:cs="Times New Roman"/>
          <w:i/>
          <w:lang w:bidi="en-US"/>
        </w:rPr>
        <w:t>Gene-specific comments</w:t>
      </w:r>
      <w:r>
        <w:rPr>
          <w:rFonts w:cs="Times New Roman"/>
          <w:i/>
          <w:lang w:bidi="en-US"/>
        </w:rPr>
        <w:t>, with citations as appropriate]</w:t>
      </w:r>
    </w:p>
    <w:p w14:paraId="7B6878AF" w14:textId="77777777" w:rsidR="00FA7786" w:rsidRDefault="00FA7786" w:rsidP="00FA7786">
      <w:pPr>
        <w:tabs>
          <w:tab w:val="left" w:pos="990"/>
        </w:tabs>
        <w:rPr>
          <w:rFonts w:cs="Times New Roman"/>
          <w:lang w:bidi="en-US"/>
        </w:rPr>
      </w:pPr>
    </w:p>
    <w:p w14:paraId="71EAD598" w14:textId="77777777" w:rsidR="00FA7786" w:rsidRDefault="00FA7786" w:rsidP="00FA7786">
      <w:pPr>
        <w:tabs>
          <w:tab w:val="left" w:pos="990"/>
        </w:tabs>
        <w:ind w:left="720"/>
        <w:rPr>
          <w:rFonts w:cs="Times New Roman"/>
          <w:i/>
          <w:lang w:bidi="en-US"/>
        </w:rPr>
      </w:pPr>
      <w:r w:rsidRPr="00C120E6">
        <w:rPr>
          <w:rFonts w:cs="Times New Roman"/>
          <w:i/>
          <w:lang w:bidi="en-US"/>
        </w:rPr>
        <w:t>___ is a gene that is subject to relatively common duplications and deletions in the germline</w:t>
      </w:r>
      <w:r>
        <w:rPr>
          <w:rFonts w:cs="Times New Roman"/>
          <w:i/>
          <w:lang w:bidi="en-US"/>
        </w:rPr>
        <w:t>, and</w:t>
      </w:r>
      <w:r w:rsidRPr="00C120E6">
        <w:rPr>
          <w:rFonts w:cs="Times New Roman"/>
          <w:i/>
          <w:lang w:bidi="en-US"/>
        </w:rPr>
        <w:t xml:space="preserve"> thus</w:t>
      </w:r>
      <w:r>
        <w:rPr>
          <w:rFonts w:cs="Times New Roman"/>
          <w:i/>
          <w:lang w:bidi="en-US"/>
        </w:rPr>
        <w:t xml:space="preserve"> any genetic test should clearly indicate how copy number variants have been assessed, and whether function can be assigned.</w:t>
      </w:r>
    </w:p>
    <w:p w14:paraId="59112A85" w14:textId="77777777" w:rsidR="00FA7786" w:rsidRDefault="00FA7786" w:rsidP="00FA7786">
      <w:pPr>
        <w:tabs>
          <w:tab w:val="left" w:pos="990"/>
        </w:tabs>
        <w:ind w:left="720"/>
        <w:rPr>
          <w:rFonts w:cs="Times New Roman"/>
          <w:i/>
          <w:lang w:bidi="en-US"/>
        </w:rPr>
      </w:pPr>
    </w:p>
    <w:p w14:paraId="0299055D" w14:textId="77777777" w:rsidR="00FA7786" w:rsidRDefault="00FA7786" w:rsidP="00FA7786">
      <w:pPr>
        <w:tabs>
          <w:tab w:val="left" w:pos="990"/>
        </w:tabs>
        <w:ind w:left="720"/>
        <w:rPr>
          <w:rFonts w:cs="Times New Roman"/>
          <w:i/>
          <w:lang w:bidi="en-US"/>
        </w:rPr>
      </w:pPr>
      <w:r>
        <w:rPr>
          <w:rFonts w:cs="Times New Roman"/>
          <w:i/>
          <w:lang w:bidi="en-US"/>
        </w:rPr>
        <w:t>__ is a gene for which most actionable genomic variants are rare (MAF &lt; 1%) in most populations, and thus sequencing-based approaches are recommended.</w:t>
      </w:r>
    </w:p>
    <w:p w14:paraId="436F7A7B" w14:textId="77777777" w:rsidR="00FA7786" w:rsidRDefault="00FA7786" w:rsidP="00FA7786">
      <w:pPr>
        <w:tabs>
          <w:tab w:val="left" w:pos="990"/>
        </w:tabs>
        <w:ind w:left="720"/>
        <w:rPr>
          <w:rFonts w:cs="Times New Roman"/>
          <w:i/>
          <w:lang w:bidi="en-US"/>
        </w:rPr>
      </w:pPr>
    </w:p>
    <w:p w14:paraId="26BA9548" w14:textId="77777777" w:rsidR="00FA7786" w:rsidRDefault="00FA7786" w:rsidP="00FA7786">
      <w:pPr>
        <w:tabs>
          <w:tab w:val="left" w:pos="990"/>
        </w:tabs>
        <w:ind w:left="720"/>
        <w:rPr>
          <w:rFonts w:cs="Times New Roman"/>
          <w:i/>
          <w:lang w:bidi="en-US"/>
        </w:rPr>
      </w:pPr>
      <w:r w:rsidRPr="00C120E6">
        <w:rPr>
          <w:rFonts w:cs="Times New Roman"/>
          <w:i/>
          <w:lang w:bidi="en-US"/>
        </w:rPr>
        <w:t>__ is a gene for which m</w:t>
      </w:r>
      <w:r>
        <w:rPr>
          <w:rFonts w:cs="Times New Roman"/>
          <w:i/>
          <w:lang w:bidi="en-US"/>
        </w:rPr>
        <w:t xml:space="preserve">any </w:t>
      </w:r>
      <w:r w:rsidRPr="00C120E6">
        <w:rPr>
          <w:rFonts w:cs="Times New Roman"/>
          <w:i/>
          <w:lang w:bidi="en-US"/>
        </w:rPr>
        <w:t xml:space="preserve">actionable genomic variants are </w:t>
      </w:r>
      <w:r>
        <w:rPr>
          <w:rFonts w:cs="Times New Roman"/>
          <w:i/>
          <w:lang w:bidi="en-US"/>
        </w:rPr>
        <w:t>intronic, and</w:t>
      </w:r>
      <w:r w:rsidRPr="00C120E6">
        <w:rPr>
          <w:rFonts w:cs="Times New Roman"/>
          <w:i/>
          <w:lang w:bidi="en-US"/>
        </w:rPr>
        <w:t xml:space="preserve"> thus </w:t>
      </w:r>
      <w:r>
        <w:rPr>
          <w:rFonts w:cs="Times New Roman"/>
          <w:i/>
          <w:lang w:bidi="en-US"/>
        </w:rPr>
        <w:t>genetic tests that include appropriate interrogations of introns are recommended.</w:t>
      </w:r>
    </w:p>
    <w:p w14:paraId="5EFDB868" w14:textId="77777777" w:rsidR="00FA7786" w:rsidRDefault="00FA7786" w:rsidP="00FA7786">
      <w:pPr>
        <w:tabs>
          <w:tab w:val="left" w:pos="990"/>
        </w:tabs>
        <w:ind w:left="720"/>
        <w:rPr>
          <w:rFonts w:cs="Times New Roman"/>
          <w:i/>
          <w:lang w:bidi="en-US"/>
        </w:rPr>
      </w:pPr>
    </w:p>
    <w:p w14:paraId="46985209" w14:textId="77777777" w:rsidR="00FA7786" w:rsidRDefault="00FA7786" w:rsidP="00FA7786">
      <w:pPr>
        <w:tabs>
          <w:tab w:val="left" w:pos="990"/>
        </w:tabs>
        <w:ind w:left="720"/>
        <w:rPr>
          <w:rFonts w:cs="Times New Roman"/>
          <w:i/>
          <w:lang w:bidi="en-US"/>
        </w:rPr>
      </w:pPr>
      <w:r>
        <w:rPr>
          <w:rFonts w:cs="Times New Roman"/>
          <w:i/>
          <w:lang w:bidi="en-US"/>
        </w:rPr>
        <w:t>___ is a gene for which the ** and ** alleles can counteract each other’s functional consequences, and thus genetic tests should include at least these two alleles.</w:t>
      </w:r>
    </w:p>
    <w:p w14:paraId="5C8FFE75" w14:textId="77777777" w:rsidR="00FA7786" w:rsidRDefault="00FA7786" w:rsidP="00FA7786">
      <w:pPr>
        <w:tabs>
          <w:tab w:val="left" w:pos="990"/>
        </w:tabs>
        <w:ind w:left="720"/>
        <w:rPr>
          <w:rFonts w:cs="Times New Roman"/>
          <w:i/>
          <w:lang w:bidi="en-US"/>
        </w:rPr>
      </w:pPr>
    </w:p>
    <w:p w14:paraId="1B21AA85" w14:textId="77777777" w:rsidR="00FA7786" w:rsidRDefault="00FA7786" w:rsidP="00FA7786">
      <w:pPr>
        <w:tabs>
          <w:tab w:val="left" w:pos="990"/>
        </w:tabs>
        <w:ind w:left="720"/>
        <w:rPr>
          <w:rFonts w:cs="Times New Roman"/>
          <w:i/>
          <w:lang w:bidi="en-US"/>
        </w:rPr>
      </w:pPr>
      <w:r>
        <w:rPr>
          <w:rFonts w:cs="Times New Roman"/>
          <w:i/>
          <w:lang w:bidi="en-US"/>
        </w:rPr>
        <w:t xml:space="preserve">___ is a gene for which clinical lab testing characteristics were recently </w:t>
      </w:r>
      <w:proofErr w:type="gramStart"/>
      <w:r>
        <w:rPr>
          <w:rFonts w:cs="Times New Roman"/>
          <w:i/>
          <w:lang w:bidi="en-US"/>
        </w:rPr>
        <w:t>reviewed.[</w:t>
      </w:r>
      <w:proofErr w:type="gramEnd"/>
      <w:r>
        <w:rPr>
          <w:rFonts w:cs="Times New Roman"/>
          <w:i/>
          <w:lang w:bidi="en-US"/>
        </w:rPr>
        <w:t xml:space="preserve">e.g. </w:t>
      </w:r>
      <w:r w:rsidRPr="00A179A5">
        <w:rPr>
          <w:rFonts w:cs="Times New Roman"/>
          <w:i/>
          <w:lang w:bidi="en-US"/>
        </w:rPr>
        <w:t>PMID: 28777243</w:t>
      </w:r>
      <w:r>
        <w:rPr>
          <w:rFonts w:cs="Times New Roman"/>
          <w:i/>
          <w:lang w:bidi="en-US"/>
        </w:rPr>
        <w:t>]</w:t>
      </w:r>
    </w:p>
    <w:p w14:paraId="759765E3" w14:textId="77777777" w:rsidR="00FA7786" w:rsidRDefault="00FA7786" w:rsidP="00FA7786">
      <w:pPr>
        <w:tabs>
          <w:tab w:val="left" w:pos="990"/>
        </w:tabs>
        <w:ind w:left="720"/>
        <w:rPr>
          <w:rFonts w:cs="Times New Roman"/>
          <w:i/>
          <w:lang w:bidi="en-US"/>
        </w:rPr>
      </w:pPr>
    </w:p>
    <w:p w14:paraId="4C2CB0CC" w14:textId="77777777" w:rsidR="00FA7786" w:rsidRDefault="00FA7786" w:rsidP="00FA7786">
      <w:pPr>
        <w:tabs>
          <w:tab w:val="left" w:pos="990"/>
        </w:tabs>
        <w:ind w:left="720"/>
        <w:rPr>
          <w:rFonts w:cs="Times New Roman"/>
          <w:i/>
          <w:lang w:bidi="en-US"/>
        </w:rPr>
      </w:pPr>
      <w:r>
        <w:rPr>
          <w:rFonts w:cs="Times New Roman"/>
          <w:i/>
          <w:lang w:bidi="en-US"/>
        </w:rPr>
        <w:tab/>
      </w:r>
      <w:r w:rsidRPr="00B21FF7">
        <w:rPr>
          <w:rFonts w:cs="Times New Roman"/>
          <w:i/>
          <w:lang w:bidi="en-US"/>
        </w:rPr>
        <w:t>__ is a gene for which homologous sequences exist in the genome. Methods to position alleles in the correct genomic location are necessary.</w:t>
      </w:r>
    </w:p>
    <w:p w14:paraId="69875B59" w14:textId="77777777" w:rsidR="00FA7786" w:rsidRPr="00C120E6" w:rsidRDefault="00FA7786" w:rsidP="00FA7786">
      <w:pPr>
        <w:tabs>
          <w:tab w:val="left" w:pos="990"/>
        </w:tabs>
        <w:ind w:left="720"/>
        <w:rPr>
          <w:rFonts w:cs="Times New Roman"/>
          <w:i/>
        </w:rPr>
      </w:pPr>
    </w:p>
    <w:p w14:paraId="08C84BFD" w14:textId="77777777" w:rsidR="00FA7786" w:rsidRPr="007F5874" w:rsidRDefault="00FA7786" w:rsidP="00FA7786">
      <w:pPr>
        <w:rPr>
          <w:rFonts w:cs="Times New Roman"/>
          <w:b/>
        </w:rPr>
      </w:pPr>
      <w:r>
        <w:rPr>
          <w:lang w:bidi="en-US"/>
        </w:rPr>
        <w:t>The</w:t>
      </w:r>
      <w:r w:rsidRPr="007F5874">
        <w:rPr>
          <w:lang w:bidi="en-US"/>
        </w:rPr>
        <w:t xml:space="preserve"> Genetic Testing Registry (GTR) provides a central location for voluntary submission of genetic test information by providers and is available at </w:t>
      </w:r>
      <w:r w:rsidRPr="007F5874">
        <w:t>http://www.ncbi.nlm.nih.gov/gtr/</w:t>
      </w:r>
      <w:r w:rsidRPr="007F5874">
        <w:rPr>
          <w:rStyle w:val="Hyperlink"/>
          <w:lang w:bidi="en-US"/>
        </w:rPr>
        <w:t>.</w:t>
      </w:r>
    </w:p>
    <w:p w14:paraId="5AD24E77" w14:textId="77777777" w:rsidR="00C4035E" w:rsidRDefault="00C4035E" w:rsidP="00C4035E">
      <w:pPr>
        <w:rPr>
          <w:rStyle w:val="Hyperlink"/>
          <w:lang w:bidi="en-US"/>
        </w:rPr>
      </w:pPr>
    </w:p>
    <w:p w14:paraId="28BE1C0D" w14:textId="77777777" w:rsidR="00D26EE1" w:rsidRPr="007F5874" w:rsidRDefault="00D26EE1" w:rsidP="00175968">
      <w:pPr>
        <w:rPr>
          <w:rFonts w:cs="Times New Roman"/>
          <w:b/>
        </w:rPr>
      </w:pPr>
    </w:p>
    <w:p w14:paraId="2046EC33" w14:textId="77777777" w:rsidR="00175968" w:rsidRPr="007F5874" w:rsidRDefault="00175968" w:rsidP="00175968">
      <w:pPr>
        <w:rPr>
          <w:rFonts w:cs="Times New Roman"/>
          <w:b/>
        </w:rPr>
      </w:pPr>
      <w:r w:rsidRPr="007F5874">
        <w:rPr>
          <w:rFonts w:cs="Times New Roman"/>
          <w:b/>
        </w:rPr>
        <w:t>Levels of Evidence</w:t>
      </w:r>
    </w:p>
    <w:p w14:paraId="5BE03352" w14:textId="62E50963"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822F5E">
        <w:rPr>
          <w:rFonts w:cs="Times New Roman"/>
        </w:rPr>
        <w:instrText xml:space="preserve"> ADDIN EN.CITE &lt;EndNote&gt;&lt;Cite&gt;&lt;Author&gt;Valdes&lt;/Author&gt;&lt;Year&gt;2010&lt;/Year&gt;&lt;RecNum&gt;2&lt;/RecNum&gt;&lt;DisplayText&gt;(2)&lt;/DisplayText&gt;&lt;record&gt;&lt;rec-number&gt;2&lt;/rec-number&gt;&lt;foreign-keys&gt;&lt;key app="EN" db-id="d5dfzaz06vsf0ketf5qxf95q9ertffrp0rxs" timestamp="1511815434"&gt;2&lt;/key&gt;&lt;/foreign-keys&gt;&lt;ref-type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822F5E">
        <w:rPr>
          <w:rFonts w:cs="Times New Roman"/>
          <w:noProof/>
        </w:rPr>
        <w:t>(</w:t>
      </w:r>
      <w:hyperlink w:anchor="_ENREF_2" w:tooltip="Valdes, 2010 #2" w:history="1">
        <w:r w:rsidR="00822F5E">
          <w:rPr>
            <w:rFonts w:cs="Times New Roman"/>
            <w:noProof/>
          </w:rPr>
          <w:t>2</w:t>
        </w:r>
      </w:hyperlink>
      <w:r w:rsidR="00822F5E">
        <w:rPr>
          <w:rFonts w:cs="Times New Roman"/>
          <w:noProof/>
        </w:rPr>
        <w:t>)</w:t>
      </w:r>
      <w:r w:rsidR="0069195E" w:rsidRPr="007F5874">
        <w:rPr>
          <w:rFonts w:cs="Times New Roman"/>
        </w:rPr>
        <w:fldChar w:fldCharType="end"/>
      </w:r>
    </w:p>
    <w:p w14:paraId="431DC5FA"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6840E4F4" w14:textId="77777777" w:rsidR="00175968" w:rsidRPr="007F5874" w:rsidRDefault="00175968" w:rsidP="00175968">
      <w:pPr>
        <w:ind w:left="720"/>
        <w:rPr>
          <w:rFonts w:cs="Times New Roman"/>
        </w:rPr>
      </w:pPr>
      <w:r w:rsidRPr="007F5874">
        <w:rPr>
          <w:rFonts w:cs="Times New Roman"/>
        </w:rPr>
        <w:lastRenderedPageBreak/>
        <w:t>Moderate: Evidence is sufficient to determine effects, but the strength of the evidence is limited by the number, quality, or consistency of the individual studies; generalizability to routine practice; or indirect nature of the evidence.</w:t>
      </w:r>
    </w:p>
    <w:p w14:paraId="1C9C5C61"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590B2C1" w14:textId="77777777" w:rsidR="00175968" w:rsidRPr="007F5874" w:rsidRDefault="00175968">
      <w:pPr>
        <w:rPr>
          <w:rFonts w:cs="Times New Roman"/>
          <w:b/>
          <w:lang w:bidi="en-US"/>
        </w:rPr>
      </w:pPr>
    </w:p>
    <w:p w14:paraId="0B2674D4" w14:textId="77777777" w:rsidR="00175968" w:rsidRPr="007F5874" w:rsidRDefault="00A86260">
      <w:pPr>
        <w:rPr>
          <w:rFonts w:cs="Times New Roman"/>
          <w:b/>
          <w:lang w:bidi="en-US"/>
        </w:rPr>
      </w:pPr>
      <w:r w:rsidRPr="007F5874">
        <w:rPr>
          <w:rFonts w:cs="Times New Roman"/>
          <w:b/>
          <w:lang w:bidi="en-US"/>
        </w:rPr>
        <w:t>Strength of Recommendations</w:t>
      </w:r>
    </w:p>
    <w:p w14:paraId="5D5C8CE8" w14:textId="62B7B03C"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822F5E">
        <w:instrText xml:space="preserve"> ADDIN EN.CITE &lt;EndNote&gt;&lt;Cite&gt;&lt;Author&gt;Relling&lt;/Author&gt;&lt;Year&gt;2011&lt;/Year&gt;&lt;RecNum&gt;3&lt;/RecNum&gt;&lt;DisplayText&gt;(3)&lt;/DisplayText&gt;&lt;record&gt;&lt;rec-number&gt;3&lt;/rec-number&gt;&lt;foreign-keys&gt;&lt;key app="EN" db-id="d5dfzaz06vsf0ketf5qxf95q9ertffrp0rxs" timestamp="1511815434"&gt;3&lt;/key&gt;&lt;/foreign-keys&gt;&lt;ref-type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Ther&lt;/full-title&gt;&lt;abbr-1&gt;Clinical pharmacology and therapeutics&lt;/abbr-1&gt;&lt;/periodical&gt;&lt;alt-periodical&gt;&lt;full-title&gt;Clin Pharmacol Ther&lt;/full-title&gt;&lt;abbr-1&gt;Clinical pharmacology and therapeutics&lt;/abbr-1&gt;&lt;/alt-periodical&gt;&lt;pages&gt;464-7&lt;/pages&gt;&lt;volume&gt;89&lt;/volume&gt;&lt;number&gt;3&lt;/number&gt;&lt;edition&gt;2011/01/29&lt;/edition&gt;&lt;keywords&gt;&lt;keyword&gt;Evidence-Based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822F5E">
        <w:rPr>
          <w:noProof/>
        </w:rPr>
        <w:t>(</w:t>
      </w:r>
      <w:hyperlink w:anchor="_ENREF_3" w:tooltip="Relling, 2011 #3" w:history="1">
        <w:r w:rsidR="00822F5E">
          <w:rPr>
            <w:noProof/>
          </w:rPr>
          <w:t>3</w:t>
        </w:r>
      </w:hyperlink>
      <w:r w:rsidR="00822F5E">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42967A58" w14:textId="77777777" w:rsidR="008F3A89" w:rsidRPr="007F5874" w:rsidRDefault="008F3A89" w:rsidP="0022696A"/>
    <w:p w14:paraId="21E0688C" w14:textId="77777777" w:rsidR="008F3A89" w:rsidRPr="007F5874" w:rsidRDefault="008F3A89" w:rsidP="0022696A"/>
    <w:p w14:paraId="39178FE3" w14:textId="060A79CD"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sidR="00822F5E">
        <w:rPr>
          <w:rFonts w:cs="Times New Roman"/>
        </w:rPr>
        <w:instrText xml:space="preserve"> ADDIN EN.CITE &lt;EndNote&gt;&lt;Cite&gt;&lt;Author&gt;Adolescents&lt;/Author&gt;&lt;Year&gt;2011&lt;/Year&gt;&lt;RecNum&gt;4&lt;/RecNum&gt;&lt;DisplayText&gt;(4)&lt;/DisplayText&gt;&lt;record&gt;&lt;rec-number&gt;4&lt;/rec-number&gt;&lt;foreign-keys&gt;&lt;key app="EN" db-id="d5dfzaz06vsf0ketf5qxf95q9ertffrp0rxs" timestamp="1511815435"&gt;4&lt;/key&gt;&lt;/foreign-keys&gt;&lt;ref-type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sidR="00822F5E">
        <w:rPr>
          <w:rFonts w:cs="Times New Roman"/>
          <w:noProof/>
        </w:rPr>
        <w:t>(</w:t>
      </w:r>
      <w:hyperlink w:anchor="_ENREF_4" w:tooltip="Adolescents, 2011 #4" w:history="1">
        <w:r w:rsidR="00822F5E">
          <w:rPr>
            <w:rFonts w:cs="Times New Roman"/>
            <w:noProof/>
          </w:rPr>
          <w:t>4</w:t>
        </w:r>
      </w:hyperlink>
      <w:r w:rsidR="00822F5E">
        <w:rPr>
          <w:rFonts w:cs="Times New Roman"/>
          <w:noProof/>
        </w:rPr>
        <w:t>)</w:t>
      </w:r>
      <w:r w:rsidRPr="003B4447">
        <w:rPr>
          <w:rFonts w:cs="Times New Roman"/>
        </w:rPr>
        <w:fldChar w:fldCharType="end"/>
      </w:r>
      <w:r w:rsidRPr="003B4447">
        <w:rPr>
          <w:rFonts w:cs="Times New Roman"/>
        </w:rPr>
        <w:t xml:space="preserve">: </w:t>
      </w:r>
    </w:p>
    <w:p w14:paraId="57F7C6D0" w14:textId="77777777" w:rsidR="004C2744" w:rsidRPr="00435BF9" w:rsidRDefault="004C2744" w:rsidP="004C2744">
      <w:pPr>
        <w:spacing w:line="360" w:lineRule="auto"/>
        <w:ind w:left="720"/>
        <w:rPr>
          <w:rFonts w:cs="Times New Roman"/>
          <w:b/>
          <w:color w:val="000000" w:themeColor="text1"/>
        </w:rPr>
      </w:pPr>
    </w:p>
    <w:p w14:paraId="5793011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3D9E906C"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071765BD" w14:textId="77777777" w:rsidR="004C2744" w:rsidRDefault="004C2744" w:rsidP="004C2744">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27A6C9B8"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956B50" w14:textId="77777777" w:rsidR="004C2744" w:rsidRDefault="004C2744" w:rsidP="004C2744">
      <w:pPr>
        <w:spacing w:line="360" w:lineRule="auto"/>
      </w:pPr>
    </w:p>
    <w:p w14:paraId="3342C33D" w14:textId="77777777" w:rsidR="00175968" w:rsidRPr="007F5874" w:rsidRDefault="00175968">
      <w:pPr>
        <w:rPr>
          <w:rFonts w:cs="Times New Roman"/>
          <w:b/>
          <w:lang w:bidi="en-US"/>
        </w:rPr>
      </w:pPr>
    </w:p>
    <w:p w14:paraId="2348D992" w14:textId="77777777" w:rsidR="00334998" w:rsidRPr="00334998" w:rsidRDefault="00334998" w:rsidP="00334998">
      <w:pPr>
        <w:rPr>
          <w:b/>
        </w:rPr>
      </w:pPr>
      <w:bookmarkStart w:id="37" w:name="_Toc380997314"/>
      <w:r w:rsidRPr="00334998">
        <w:rPr>
          <w:b/>
        </w:rPr>
        <w:t>Resources to Incorporate Pharmacogenetics into an EHR with CDS</w:t>
      </w:r>
      <w:bookmarkEnd w:id="37"/>
      <w:r w:rsidRPr="00334998">
        <w:rPr>
          <w:b/>
        </w:rPr>
        <w:t xml:space="preserve"> </w:t>
      </w:r>
    </w:p>
    <w:p w14:paraId="3CCF8AC9" w14:textId="77777777" w:rsidR="008F3A89" w:rsidRDefault="008F3A89">
      <w:pPr>
        <w:rPr>
          <w:rFonts w:cs="Times New Roman"/>
          <w:b/>
          <w:lang w:bidi="en-US"/>
        </w:rPr>
      </w:pPr>
    </w:p>
    <w:p w14:paraId="010C0535"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453080F8" w14:textId="77777777"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70D08534" w14:textId="77777777" w:rsidR="00175968" w:rsidRPr="00CB6EA7" w:rsidRDefault="00175968" w:rsidP="00CB6EA7">
      <w:bookmarkStart w:id="38" w:name="_Example_of_PharmGKB"/>
      <w:bookmarkEnd w:id="38"/>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49A96AE1" w14:textId="77777777" w:rsidTr="00175968">
        <w:tc>
          <w:tcPr>
            <w:tcW w:w="9648" w:type="dxa"/>
            <w:gridSpan w:val="4"/>
          </w:tcPr>
          <w:p w14:paraId="0A9322C4" w14:textId="77777777"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1A200189" w14:textId="77777777" w:rsidTr="00175968">
        <w:tc>
          <w:tcPr>
            <w:tcW w:w="1530" w:type="dxa"/>
          </w:tcPr>
          <w:p w14:paraId="037623FE"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664F6A1D" w14:textId="40463950"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0FA6C623" w14:textId="77777777" w:rsidR="00175968" w:rsidRPr="007F5874" w:rsidRDefault="00175968" w:rsidP="00175968">
            <w:pPr>
              <w:rPr>
                <w:rFonts w:cs="Times New Roman"/>
                <w:b/>
              </w:rPr>
            </w:pPr>
          </w:p>
        </w:tc>
        <w:tc>
          <w:tcPr>
            <w:tcW w:w="1620" w:type="dxa"/>
          </w:tcPr>
          <w:p w14:paraId="0C0BD9E6" w14:textId="77777777" w:rsidR="00175968" w:rsidRPr="007F5874" w:rsidRDefault="00175968" w:rsidP="00175968">
            <w:pPr>
              <w:rPr>
                <w:rFonts w:cs="Times New Roman"/>
                <w:b/>
              </w:rPr>
            </w:pPr>
            <w:r w:rsidRPr="007F5874">
              <w:rPr>
                <w:rFonts w:cs="Times New Roman"/>
                <w:b/>
              </w:rPr>
              <w:t>References</w:t>
            </w:r>
          </w:p>
        </w:tc>
        <w:tc>
          <w:tcPr>
            <w:tcW w:w="1278" w:type="dxa"/>
          </w:tcPr>
          <w:p w14:paraId="3DB31456"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5173F2E2" w14:textId="77777777" w:rsidTr="00175968">
        <w:trPr>
          <w:trHeight w:val="800"/>
        </w:trPr>
        <w:tc>
          <w:tcPr>
            <w:tcW w:w="1530" w:type="dxa"/>
          </w:tcPr>
          <w:p w14:paraId="58E79386" w14:textId="77777777" w:rsidR="00175968" w:rsidRPr="007F5874" w:rsidRDefault="00175968" w:rsidP="00175968">
            <w:pPr>
              <w:rPr>
                <w:rFonts w:cs="Times New Roman"/>
              </w:rPr>
            </w:pPr>
            <w:r w:rsidRPr="007F5874">
              <w:rPr>
                <w:rFonts w:cs="Times New Roman"/>
              </w:rPr>
              <w:t>In vitro</w:t>
            </w:r>
          </w:p>
        </w:tc>
        <w:tc>
          <w:tcPr>
            <w:tcW w:w="5220" w:type="dxa"/>
          </w:tcPr>
          <w:p w14:paraId="471362B5"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4DBE8A3A" w14:textId="77777777" w:rsidR="00175968" w:rsidRPr="007F5874" w:rsidRDefault="00175968" w:rsidP="00175968">
            <w:pPr>
              <w:rPr>
                <w:rFonts w:cs="Times New Roman"/>
                <w:b/>
              </w:rPr>
            </w:pPr>
          </w:p>
        </w:tc>
        <w:tc>
          <w:tcPr>
            <w:tcW w:w="1278" w:type="dxa"/>
          </w:tcPr>
          <w:p w14:paraId="21C9B00F" w14:textId="77777777" w:rsidR="00175968" w:rsidRPr="007F5874" w:rsidRDefault="00175968" w:rsidP="00175968">
            <w:pPr>
              <w:rPr>
                <w:rFonts w:cs="Times New Roman"/>
              </w:rPr>
            </w:pPr>
          </w:p>
        </w:tc>
      </w:tr>
      <w:tr w:rsidR="00175968" w:rsidRPr="007F5874" w14:paraId="0776C17E" w14:textId="77777777" w:rsidTr="00175968">
        <w:trPr>
          <w:trHeight w:val="242"/>
        </w:trPr>
        <w:tc>
          <w:tcPr>
            <w:tcW w:w="1530" w:type="dxa"/>
          </w:tcPr>
          <w:p w14:paraId="6839B439" w14:textId="77777777" w:rsidR="00175968" w:rsidRPr="007F5874" w:rsidRDefault="00175968" w:rsidP="00175968">
            <w:pPr>
              <w:rPr>
                <w:rFonts w:cs="Times New Roman"/>
              </w:rPr>
            </w:pPr>
            <w:r w:rsidRPr="007F5874">
              <w:rPr>
                <w:rFonts w:cs="Times New Roman"/>
              </w:rPr>
              <w:t>In vivo preclinical</w:t>
            </w:r>
          </w:p>
        </w:tc>
        <w:tc>
          <w:tcPr>
            <w:tcW w:w="5220" w:type="dxa"/>
          </w:tcPr>
          <w:p w14:paraId="08C3CCAC" w14:textId="77777777" w:rsidR="00175968" w:rsidRPr="007F5874" w:rsidRDefault="00175968" w:rsidP="00175968">
            <w:pPr>
              <w:rPr>
                <w:rFonts w:cs="Times New Roman"/>
              </w:rPr>
            </w:pPr>
          </w:p>
        </w:tc>
        <w:tc>
          <w:tcPr>
            <w:tcW w:w="1620" w:type="dxa"/>
          </w:tcPr>
          <w:p w14:paraId="5A8F8D6B" w14:textId="77777777" w:rsidR="00175968" w:rsidRPr="007F5874" w:rsidRDefault="00175968" w:rsidP="00175968">
            <w:pPr>
              <w:rPr>
                <w:rFonts w:cs="Times New Roman"/>
                <w:b/>
              </w:rPr>
            </w:pPr>
          </w:p>
        </w:tc>
        <w:tc>
          <w:tcPr>
            <w:tcW w:w="1278" w:type="dxa"/>
          </w:tcPr>
          <w:p w14:paraId="50311EC8" w14:textId="77777777" w:rsidR="00175968" w:rsidRPr="007F5874" w:rsidRDefault="00175968" w:rsidP="00175968">
            <w:pPr>
              <w:rPr>
                <w:rFonts w:cs="Times New Roman"/>
              </w:rPr>
            </w:pPr>
          </w:p>
        </w:tc>
      </w:tr>
      <w:tr w:rsidR="00175968" w:rsidRPr="007F5874" w14:paraId="7949CD3D" w14:textId="77777777" w:rsidTr="00175968">
        <w:tc>
          <w:tcPr>
            <w:tcW w:w="1530" w:type="dxa"/>
          </w:tcPr>
          <w:p w14:paraId="71E9A249" w14:textId="77777777" w:rsidR="00175968" w:rsidRPr="007F5874" w:rsidRDefault="00175968" w:rsidP="00175968">
            <w:pPr>
              <w:rPr>
                <w:rFonts w:cs="Times New Roman"/>
              </w:rPr>
            </w:pPr>
            <w:r w:rsidRPr="007F5874">
              <w:rPr>
                <w:rFonts w:cs="Times New Roman"/>
              </w:rPr>
              <w:t>Clinical</w:t>
            </w:r>
          </w:p>
        </w:tc>
        <w:tc>
          <w:tcPr>
            <w:tcW w:w="5220" w:type="dxa"/>
          </w:tcPr>
          <w:p w14:paraId="2B03CE78" w14:textId="77777777" w:rsidR="00175968" w:rsidRPr="007F5874" w:rsidRDefault="00175968" w:rsidP="00175968">
            <w:pPr>
              <w:rPr>
                <w:rFonts w:cs="Times New Roman"/>
              </w:rPr>
            </w:pPr>
          </w:p>
        </w:tc>
        <w:tc>
          <w:tcPr>
            <w:tcW w:w="1620" w:type="dxa"/>
          </w:tcPr>
          <w:p w14:paraId="4C14A67D" w14:textId="77777777" w:rsidR="00175968" w:rsidRPr="007F5874" w:rsidRDefault="00175968" w:rsidP="00175968">
            <w:pPr>
              <w:rPr>
                <w:rFonts w:cs="Times New Roman"/>
                <w:b/>
              </w:rPr>
            </w:pPr>
          </w:p>
        </w:tc>
        <w:tc>
          <w:tcPr>
            <w:tcW w:w="1278" w:type="dxa"/>
          </w:tcPr>
          <w:p w14:paraId="4F43DB88" w14:textId="77777777" w:rsidR="00175968" w:rsidRPr="007F5874" w:rsidRDefault="00175968" w:rsidP="00175968">
            <w:pPr>
              <w:rPr>
                <w:rFonts w:cs="Times New Roman"/>
              </w:rPr>
            </w:pPr>
          </w:p>
        </w:tc>
      </w:tr>
    </w:tbl>
    <w:p w14:paraId="1F539F63" w14:textId="77777777" w:rsidR="00175968" w:rsidRPr="007F5874" w:rsidRDefault="00175968">
      <w:pPr>
        <w:rPr>
          <w:rFonts w:cs="Times New Roman"/>
          <w:lang w:bidi="en-US"/>
        </w:rPr>
      </w:pPr>
    </w:p>
    <w:p w14:paraId="6616671D"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047EAEB0"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B003FAD"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239789FE" w14:textId="77777777" w:rsidR="00175968" w:rsidRPr="007F5874" w:rsidRDefault="00175968">
      <w:pPr>
        <w:rPr>
          <w:rFonts w:cs="Times New Roman"/>
          <w:lang w:bidi="en-US"/>
        </w:rPr>
      </w:pPr>
    </w:p>
    <w:p w14:paraId="0795AD51" w14:textId="77777777" w:rsidR="00175968" w:rsidRPr="007F5874" w:rsidRDefault="00175968">
      <w:pPr>
        <w:rPr>
          <w:rFonts w:cs="Times New Roman"/>
          <w:lang w:bidi="en-US"/>
        </w:rPr>
      </w:pPr>
    </w:p>
    <w:p w14:paraId="1426C050" w14:textId="77777777" w:rsidR="00175968" w:rsidRPr="007F5874" w:rsidRDefault="00175968">
      <w:pPr>
        <w:rPr>
          <w:rFonts w:cs="Times New Roman"/>
          <w:lang w:bidi="en-US"/>
        </w:rPr>
      </w:pPr>
    </w:p>
    <w:p w14:paraId="2DAC8645"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4EA7CA4D" w14:textId="77777777" w:rsidR="00175968" w:rsidRPr="007F5874" w:rsidRDefault="00175968">
      <w:pPr>
        <w:rPr>
          <w:rFonts w:cs="Times New Roman"/>
        </w:rPr>
      </w:pPr>
      <w:r w:rsidRPr="007F5874">
        <w:rPr>
          <w:rFonts w:cs="Times New Roman"/>
        </w:rPr>
        <w:br w:type="page"/>
      </w:r>
    </w:p>
    <w:p w14:paraId="1608BF85"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68A81918" w14:textId="77777777" w:rsidR="006373EB" w:rsidRPr="002247C2" w:rsidRDefault="006373EB" w:rsidP="006373EB">
      <w:pPr>
        <w:spacing w:line="360" w:lineRule="auto"/>
        <w:rPr>
          <w:rFonts w:cs="Times New Roman"/>
        </w:rPr>
      </w:pPr>
    </w:p>
    <w:p w14:paraId="13D7AE60" w14:textId="77777777" w:rsidR="006373EB" w:rsidRPr="002247C2" w:rsidRDefault="006373EB" w:rsidP="006373EB">
      <w:pPr>
        <w:spacing w:line="360" w:lineRule="auto"/>
        <w:rPr>
          <w:rFonts w:cs="Times New Roman"/>
          <w:color w:val="000000"/>
        </w:rPr>
      </w:pPr>
    </w:p>
    <w:p w14:paraId="544947A1" w14:textId="77777777" w:rsidR="006373EB" w:rsidRPr="002247C2" w:rsidRDefault="006373EB" w:rsidP="006373EB">
      <w:pPr>
        <w:spacing w:line="360" w:lineRule="auto"/>
        <w:ind w:left="720"/>
        <w:rPr>
          <w:rFonts w:cs="Times New Roman"/>
          <w:color w:val="000000"/>
        </w:rPr>
      </w:pPr>
    </w:p>
    <w:p w14:paraId="1A4DD284" w14:textId="77777777" w:rsidR="00175968" w:rsidRPr="007F5874" w:rsidRDefault="00175968">
      <w:pPr>
        <w:rPr>
          <w:rFonts w:cs="Times New Roman"/>
        </w:rPr>
      </w:pPr>
    </w:p>
    <w:p w14:paraId="3691E26D" w14:textId="77777777" w:rsidR="00175968" w:rsidRPr="007F5874" w:rsidRDefault="00175968">
      <w:pPr>
        <w:rPr>
          <w:rFonts w:cs="Times New Roman"/>
        </w:rPr>
      </w:pPr>
    </w:p>
    <w:p w14:paraId="15A84C96" w14:textId="77777777" w:rsidR="00175968" w:rsidRPr="007F5874" w:rsidRDefault="00175968" w:rsidP="00175968">
      <w:pPr>
        <w:rPr>
          <w:rFonts w:cs="Times New Roman"/>
          <w:b/>
        </w:rPr>
      </w:pPr>
      <w:r w:rsidRPr="007F5874">
        <w:rPr>
          <w:rFonts w:cs="Times New Roman"/>
          <w:b/>
        </w:rPr>
        <w:t>References</w:t>
      </w:r>
    </w:p>
    <w:p w14:paraId="748ED9ED" w14:textId="77777777" w:rsidR="006D5AA6" w:rsidRPr="007F5874" w:rsidRDefault="006D5AA6" w:rsidP="007704E5">
      <w:pPr>
        <w:rPr>
          <w:rFonts w:cs="Times New Roman"/>
        </w:rPr>
      </w:pPr>
    </w:p>
    <w:p w14:paraId="274B4539"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0DAB5362" w14:textId="77777777" w:rsidR="00720E4A" w:rsidRPr="007F5874" w:rsidRDefault="006D5AA6" w:rsidP="008E0ADA">
      <w:pPr>
        <w:pStyle w:val="Heading1"/>
      </w:pPr>
      <w:bookmarkStart w:id="39" w:name="_Toc13059463"/>
      <w:r w:rsidRPr="007F5874">
        <w:lastRenderedPageBreak/>
        <w:t xml:space="preserve">APPENDIX </w:t>
      </w:r>
      <w:r w:rsidR="004C03CA" w:rsidRPr="007F5874">
        <w:t>C</w:t>
      </w:r>
      <w:r w:rsidRPr="007F5874">
        <w:t xml:space="preserve">: </w:t>
      </w:r>
      <w:r w:rsidR="0002187D" w:rsidRPr="007F5874">
        <w:t xml:space="preserve">CPIC </w:t>
      </w:r>
      <w:r w:rsidR="00C471B5">
        <w:t>Director</w:t>
      </w:r>
      <w:r w:rsidR="0002187D" w:rsidRPr="007F5874">
        <w:t xml:space="preserve"> </w:t>
      </w:r>
      <w:r w:rsidRPr="007F5874">
        <w:t>Checklist</w:t>
      </w:r>
      <w:bookmarkEnd w:id="39"/>
    </w:p>
    <w:p w14:paraId="00AA8882" w14:textId="77777777" w:rsidR="006D5AA6" w:rsidRPr="007F5874" w:rsidRDefault="006D5AA6" w:rsidP="006D5AA6">
      <w:pPr>
        <w:jc w:val="center"/>
        <w:rPr>
          <w:rFonts w:cs="Times New Roman"/>
        </w:rPr>
      </w:pPr>
    </w:p>
    <w:p w14:paraId="294395A8" w14:textId="77777777" w:rsidR="00625A00" w:rsidRPr="007F5874" w:rsidRDefault="00625A00" w:rsidP="00625A00">
      <w:pPr>
        <w:rPr>
          <w:rFonts w:cs="Times New Roman"/>
          <w:b/>
        </w:rPr>
      </w:pPr>
      <w:r w:rsidRPr="007F5874">
        <w:rPr>
          <w:rFonts w:cs="Times New Roman"/>
          <w:b/>
        </w:rPr>
        <w:t>Manuscript Preparation:</w:t>
      </w:r>
    </w:p>
    <w:p w14:paraId="20D10AE0" w14:textId="77777777" w:rsidR="00625A00" w:rsidRPr="007F5874" w:rsidRDefault="00625A00" w:rsidP="00625A00">
      <w:pPr>
        <w:rPr>
          <w:rFonts w:cs="Times New Roman"/>
        </w:rPr>
      </w:pPr>
    </w:p>
    <w:p w14:paraId="0E9B053D"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6C24A66C"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55117AB3"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1A9D1832"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17B5F09C" w14:textId="77777777" w:rsidR="00A677EA" w:rsidRPr="007F5874" w:rsidRDefault="00A677EA" w:rsidP="00A677EA">
      <w:pPr>
        <w:pStyle w:val="ListParagraph"/>
        <w:numPr>
          <w:ilvl w:val="0"/>
          <w:numId w:val="11"/>
        </w:numPr>
        <w:rPr>
          <w:rFonts w:cs="Times New Roman"/>
        </w:rPr>
      </w:pPr>
      <w:r w:rsidRPr="007F5874">
        <w:t xml:space="preserve">Send a brief </w:t>
      </w:r>
      <w:bookmarkStart w:id="40" w:name="_GoBack"/>
      <w:r w:rsidRPr="007F5874">
        <w:t>authorship</w:t>
      </w:r>
      <w:bookmarkEnd w:id="40"/>
      <w:r w:rsidRPr="007F5874">
        <w:t xml:space="preserve">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32" w:history="1">
        <w:r w:rsidRPr="007F5874">
          <w:rPr>
            <w:rStyle w:val="Hyperlink"/>
          </w:rPr>
          <w:t>mary.relling@stjude.org</w:t>
        </w:r>
      </w:hyperlink>
      <w:r w:rsidRPr="007F5874">
        <w:t>) for approval</w:t>
      </w:r>
      <w:r w:rsidRPr="007F5874">
        <w:rPr>
          <w:rFonts w:cs="Times New Roman"/>
        </w:rPr>
        <w:t>.</w:t>
      </w:r>
    </w:p>
    <w:p w14:paraId="39DC5E39"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56178A78"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60280EA9"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7BC746E7"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26F80022"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33" w:history="1">
        <w:r w:rsidRPr="007F5874">
          <w:rPr>
            <w:rStyle w:val="Hyperlink"/>
            <w:rFonts w:cs="Times New Roman"/>
          </w:rPr>
          <w:t>teri.klein@stanford.edu</w:t>
        </w:r>
      </w:hyperlink>
      <w:r w:rsidRPr="007F5874">
        <w:rPr>
          <w:rFonts w:cs="Times New Roman"/>
        </w:rPr>
        <w:t>) and Mary Relling (mary.relling@stjude.org) for internal review.</w:t>
      </w:r>
    </w:p>
    <w:p w14:paraId="1329E7B4" w14:textId="77777777"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49AAA594"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329EF9A8" w14:textId="77777777" w:rsidR="00AA47CB" w:rsidRPr="007F5874" w:rsidRDefault="00AA47CB" w:rsidP="00AA47CB">
      <w:pPr>
        <w:rPr>
          <w:rFonts w:cs="Times New Roman"/>
        </w:rPr>
      </w:pPr>
    </w:p>
    <w:p w14:paraId="17DC622C" w14:textId="77777777" w:rsidR="00AA47CB" w:rsidRPr="007F5874" w:rsidRDefault="00AA47CB" w:rsidP="00AA47CB">
      <w:pPr>
        <w:rPr>
          <w:rFonts w:cs="Times New Roman"/>
          <w:b/>
        </w:rPr>
      </w:pPr>
      <w:r w:rsidRPr="007F5874">
        <w:rPr>
          <w:rFonts w:cs="Times New Roman"/>
          <w:b/>
        </w:rPr>
        <w:t>Submission of Manuscript:</w:t>
      </w:r>
    </w:p>
    <w:p w14:paraId="7CAEF80A" w14:textId="77777777" w:rsidR="00AA47CB" w:rsidRPr="007F5874" w:rsidRDefault="00AA47CB" w:rsidP="00AA47CB">
      <w:pPr>
        <w:rPr>
          <w:rFonts w:cs="Times New Roman"/>
          <w:b/>
        </w:rPr>
      </w:pPr>
    </w:p>
    <w:p w14:paraId="5F6E9177" w14:textId="3B390D5B"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4" w:history="1">
        <w:r w:rsidR="00151DBC">
          <w:rPr>
            <w:rStyle w:val="Hyperlink"/>
            <w:rFonts w:cs="Times New Roman"/>
          </w:rPr>
          <w:t>contact@cpicpgx.org</w:t>
        </w:r>
      </w:hyperlink>
      <w:r w:rsidR="001C2059">
        <w:rPr>
          <w:rFonts w:cs="Times New Roman"/>
        </w:rPr>
        <w:t>) should be added</w:t>
      </w:r>
      <w:r w:rsidRPr="007F5874">
        <w:rPr>
          <w:rFonts w:cs="Times New Roman"/>
        </w:rPr>
        <w:t>. (</w:t>
      </w:r>
      <w:r w:rsidR="00E1020A">
        <w:rPr>
          <w:rFonts w:cs="Times New Roman"/>
        </w:rPr>
        <w:t xml:space="preserve">The CPIC Director </w:t>
      </w:r>
      <w:r w:rsidRPr="007F5874">
        <w:rPr>
          <w:rFonts w:cs="Times New Roman"/>
        </w:rPr>
        <w:t>will forward all relevant correspondence to the corresponding author as they receive it.)</w:t>
      </w:r>
    </w:p>
    <w:p w14:paraId="2FCF698F"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31158EF"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0B8D9554"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51A67C73"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B0125CF"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761474D3"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09D2C1F6"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75679EDB"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23462302"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54B9C97C"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76737801" w14:textId="77777777" w:rsidR="001D49AC" w:rsidRPr="007F5874" w:rsidRDefault="001D49AC" w:rsidP="001D49AC">
      <w:pPr>
        <w:rPr>
          <w:rFonts w:cs="Times New Roman"/>
          <w:b/>
        </w:rPr>
      </w:pPr>
    </w:p>
    <w:p w14:paraId="46CFB606"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w:t>
      </w:r>
      <w:r w:rsidR="00C471B5">
        <w:rPr>
          <w:rFonts w:cs="Times New Roman"/>
          <w:b/>
        </w:rPr>
        <w:t>Director</w:t>
      </w:r>
      <w:r w:rsidR="002D550A" w:rsidRPr="007F5874">
        <w:rPr>
          <w:rFonts w:cs="Times New Roman"/>
          <w:b/>
        </w:rPr>
        <w:t>)</w:t>
      </w:r>
    </w:p>
    <w:p w14:paraId="2986E12B" w14:textId="77777777" w:rsidR="001D49AC" w:rsidRPr="007F5874" w:rsidRDefault="001D49AC" w:rsidP="001D49AC">
      <w:pPr>
        <w:rPr>
          <w:rFonts w:cs="Times New Roman"/>
          <w:b/>
        </w:rPr>
      </w:pPr>
    </w:p>
    <w:p w14:paraId="3678F20F" w14:textId="77777777" w:rsidR="00F437DD" w:rsidRPr="007F5874" w:rsidRDefault="00645EC6" w:rsidP="00625A00">
      <w:pPr>
        <w:pStyle w:val="ListParagraph"/>
        <w:numPr>
          <w:ilvl w:val="0"/>
          <w:numId w:val="13"/>
        </w:numPr>
        <w:rPr>
          <w:rFonts w:cs="Times New Roman"/>
        </w:rPr>
      </w:pPr>
      <w:r w:rsidRPr="007F5874">
        <w:t>Notify the NIH of accepted CPIC guidelines: Chris Kelly (</w:t>
      </w:r>
      <w:hyperlink r:id="rId35" w:history="1">
        <w:r w:rsidRPr="007F5874">
          <w:rPr>
            <w:rStyle w:val="Hyperlink"/>
          </w:rPr>
          <w:t>chkelly@ncbi.nlm.nih.gov</w:t>
        </w:r>
      </w:hyperlink>
      <w:r w:rsidRPr="007F5874">
        <w:t>), Adriana Malheiro (</w:t>
      </w:r>
      <w:hyperlink r:id="rId36" w:history="1">
        <w:r w:rsidRPr="007F5874">
          <w:rPr>
            <w:rStyle w:val="Hyperlink"/>
          </w:rPr>
          <w:t>adriana.malheiro@nih.gov</w:t>
        </w:r>
      </w:hyperlink>
      <w:r w:rsidRPr="007F5874">
        <w:t>), and Wendy Rubinstein (</w:t>
      </w:r>
      <w:hyperlink r:id="rId37" w:history="1">
        <w:r w:rsidRPr="007F5874">
          <w:rPr>
            <w:rStyle w:val="Hyperlink"/>
          </w:rPr>
          <w:t>rubinstw@ncbi.nlm.nih.gov</w:t>
        </w:r>
      </w:hyperlink>
      <w:r w:rsidRPr="007F5874">
        <w:t xml:space="preserve">) </w:t>
      </w:r>
    </w:p>
    <w:p w14:paraId="58EAEF35"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E7A237" w14:textId="77777777" w:rsidR="00645EC6" w:rsidRDefault="00645EC6" w:rsidP="00625A00">
      <w:pPr>
        <w:pStyle w:val="ListParagraph"/>
        <w:numPr>
          <w:ilvl w:val="0"/>
          <w:numId w:val="13"/>
        </w:numPr>
        <w:rPr>
          <w:rFonts w:cs="Times New Roman"/>
        </w:rPr>
      </w:pPr>
      <w:r w:rsidRPr="007F5874">
        <w:rPr>
          <w:rFonts w:cs="Times New Roman"/>
        </w:rPr>
        <w:t xml:space="preserve">CPIC </w:t>
      </w:r>
      <w:r w:rsidR="00C471B5">
        <w:rPr>
          <w:rFonts w:cs="Times New Roman"/>
        </w:rPr>
        <w:t>director</w:t>
      </w:r>
      <w:r w:rsidRPr="007F5874">
        <w:rPr>
          <w:rFonts w:cs="Times New Roman"/>
        </w:rPr>
        <w:t xml:space="preserve"> and Mary Relling review “blurb” prior to submission to GTR.</w:t>
      </w:r>
    </w:p>
    <w:p w14:paraId="1C46E948" w14:textId="77777777"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677025B4" w14:textId="77777777" w:rsidR="00D559B8"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378F8E0D" w14:textId="2DA85731" w:rsidR="006D7A15" w:rsidRPr="007F5874" w:rsidRDefault="006D7A15" w:rsidP="00625A00">
      <w:pPr>
        <w:pStyle w:val="ListParagraph"/>
        <w:numPr>
          <w:ilvl w:val="0"/>
          <w:numId w:val="13"/>
        </w:numPr>
        <w:rPr>
          <w:rFonts w:cs="Times New Roman"/>
        </w:rPr>
      </w:pPr>
      <w:r>
        <w:rPr>
          <w:rFonts w:cs="Times New Roman"/>
        </w:rPr>
        <w:t>Create or update guideline page on cpicpgx.org</w:t>
      </w:r>
    </w:p>
    <w:p w14:paraId="54634D38"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00964D97"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 xml:space="preserve">on </w:t>
      </w:r>
      <w:r w:rsidR="00F17093">
        <w:rPr>
          <w:rFonts w:cs="Times New Roman"/>
        </w:rPr>
        <w:t>cpicpgx.org</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212B5114"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15D24117" w14:textId="246E0BFC" w:rsidR="00F85419" w:rsidRPr="00B72F61" w:rsidRDefault="005A503A" w:rsidP="00B72F61">
      <w:pPr>
        <w:pStyle w:val="Heading1"/>
      </w:pPr>
      <w:bookmarkStart w:id="41" w:name="_Appendix_D._List"/>
      <w:bookmarkStart w:id="42" w:name="_Toc13059464"/>
      <w:bookmarkEnd w:id="41"/>
      <w:r w:rsidRPr="00B72F61">
        <w:lastRenderedPageBreak/>
        <w:t>A</w:t>
      </w:r>
      <w:r w:rsidR="00B72F61">
        <w:t>PPENDIX</w:t>
      </w:r>
      <w:r w:rsidRPr="00B72F61">
        <w:t xml:space="preserve"> D. List of terms describing allele function and phenotype that should be used in all CPIC guidelines.</w:t>
      </w:r>
      <w:bookmarkEnd w:id="42"/>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07957C93"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3E17BFA6"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30200C8C"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588E32B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623CB135"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4D671B77"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1995F511"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0CD8CCCD"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74358D3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45767DE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6DC8A603"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4595A98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721F8D3E"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8E7502A" w14:textId="77777777" w:rsidR="005A503A" w:rsidRPr="00F927BF" w:rsidRDefault="005A503A" w:rsidP="005A503A">
            <w:pPr>
              <w:spacing w:before="120" w:line="252" w:lineRule="auto"/>
              <w:rPr>
                <w:rFonts w:cs="Times New Roman"/>
                <w:sz w:val="20"/>
                <w:szCs w:val="20"/>
              </w:rPr>
            </w:pPr>
          </w:p>
        </w:tc>
        <w:tc>
          <w:tcPr>
            <w:tcW w:w="2397" w:type="dxa"/>
          </w:tcPr>
          <w:p w14:paraId="4CFB1D9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58AA3A5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158DD0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7C916D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02F6BB7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F7A689A" w14:textId="77777777" w:rsidR="005A503A" w:rsidRPr="00F927BF" w:rsidRDefault="005A503A" w:rsidP="005A503A">
            <w:pPr>
              <w:spacing w:before="120" w:line="252" w:lineRule="auto"/>
              <w:rPr>
                <w:rFonts w:cs="Times New Roman"/>
                <w:sz w:val="20"/>
                <w:szCs w:val="20"/>
              </w:rPr>
            </w:pPr>
          </w:p>
        </w:tc>
        <w:tc>
          <w:tcPr>
            <w:tcW w:w="2397" w:type="dxa"/>
          </w:tcPr>
          <w:p w14:paraId="560BB72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1A7D6F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59261EB9"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2675742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197715A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4E81906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B8D9BA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62995D8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30A5507E"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510DCCD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6662230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885F266"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5B0E0E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3DB12AC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 xml:space="preserve">o literature describing </w:t>
            </w:r>
            <w:proofErr w:type="gramStart"/>
            <w:r w:rsidRPr="004F5229">
              <w:rPr>
                <w:rFonts w:cs="Times New Roman"/>
                <w:sz w:val="20"/>
                <w:szCs w:val="20"/>
              </w:rPr>
              <w:t>function</w:t>
            </w:r>
            <w:proofErr w:type="gramEnd"/>
            <w:r w:rsidRPr="004F5229">
              <w:rPr>
                <w:rFonts w:cs="Times New Roman"/>
                <w:sz w:val="20"/>
                <w:szCs w:val="20"/>
              </w:rPr>
              <w:t xml:space="preserve"> or the allele is novel</w:t>
            </w:r>
          </w:p>
        </w:tc>
        <w:tc>
          <w:tcPr>
            <w:tcW w:w="3547" w:type="dxa"/>
            <w:tcBorders>
              <w:bottom w:val="single" w:sz="8" w:space="0" w:color="4BACC6" w:themeColor="accent5"/>
            </w:tcBorders>
          </w:tcPr>
          <w:p w14:paraId="50C2EFD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1787D0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49B9DD2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DE7A6ED"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1AFBBFF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46FF655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DF2D1E"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2D2BD6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3D64C07A"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7A662A35"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3C6E3BE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6BFDB28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7EB8126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76A60BF2"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5B2534B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6007FFC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D38DA4A" w14:textId="77777777" w:rsidR="005A503A" w:rsidRPr="00F927BF" w:rsidRDefault="005A503A" w:rsidP="005A503A">
            <w:pPr>
              <w:spacing w:before="120" w:line="252" w:lineRule="auto"/>
              <w:rPr>
                <w:rFonts w:cs="Times New Roman"/>
                <w:sz w:val="20"/>
                <w:szCs w:val="20"/>
              </w:rPr>
            </w:pPr>
          </w:p>
        </w:tc>
        <w:tc>
          <w:tcPr>
            <w:tcW w:w="2397" w:type="dxa"/>
          </w:tcPr>
          <w:p w14:paraId="691B3E2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552BF58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1277C9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w:t>
            </w:r>
            <w:proofErr w:type="gramStart"/>
            <w:r>
              <w:rPr>
                <w:rFonts w:cs="Times New Roman"/>
                <w:sz w:val="20"/>
                <w:szCs w:val="20"/>
              </w:rPr>
              <w:t xml:space="preserve">and </w:t>
            </w:r>
            <w:r w:rsidRPr="00F927BF">
              <w:rPr>
                <w:rFonts w:cs="Times New Roman"/>
                <w:sz w:val="20"/>
                <w:szCs w:val="20"/>
              </w:rPr>
              <w:t xml:space="preserve"> </w:t>
            </w:r>
            <w:r w:rsidRPr="008C63D9">
              <w:rPr>
                <w:rFonts w:cs="Times New Roman"/>
                <w:sz w:val="20"/>
                <w:szCs w:val="20"/>
              </w:rPr>
              <w:t>increased</w:t>
            </w:r>
            <w:proofErr w:type="gramEnd"/>
            <w:r w:rsidRPr="008C63D9">
              <w:rPr>
                <w:rFonts w:cs="Times New Roman"/>
                <w:sz w:val="20"/>
                <w:szCs w:val="20"/>
              </w:rPr>
              <w:t xml:space="preserve"> function </w:t>
            </w:r>
            <w:r w:rsidRPr="00F927BF">
              <w:rPr>
                <w:rFonts w:cs="Times New Roman"/>
                <w:sz w:val="20"/>
                <w:szCs w:val="20"/>
              </w:rPr>
              <w:t>alleles</w:t>
            </w:r>
          </w:p>
        </w:tc>
        <w:tc>
          <w:tcPr>
            <w:tcW w:w="2068" w:type="dxa"/>
          </w:tcPr>
          <w:p w14:paraId="186B1B6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22FB63F7"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DEC9E08" w14:textId="77777777" w:rsidR="005A503A" w:rsidRPr="00F927BF" w:rsidRDefault="005A503A" w:rsidP="005A503A">
            <w:pPr>
              <w:spacing w:before="120" w:line="252" w:lineRule="auto"/>
              <w:rPr>
                <w:rFonts w:cs="Times New Roman"/>
                <w:sz w:val="20"/>
                <w:szCs w:val="20"/>
              </w:rPr>
            </w:pPr>
          </w:p>
        </w:tc>
        <w:tc>
          <w:tcPr>
            <w:tcW w:w="2397" w:type="dxa"/>
          </w:tcPr>
          <w:p w14:paraId="697774D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26CA577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3B893CC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AED7703"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74926458"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2136C536" w14:textId="77777777" w:rsidR="005A503A" w:rsidRPr="00F927BF" w:rsidRDefault="005A503A" w:rsidP="005A503A">
            <w:pPr>
              <w:spacing w:before="120" w:line="252" w:lineRule="auto"/>
              <w:rPr>
                <w:rFonts w:cs="Times New Roman"/>
                <w:sz w:val="20"/>
                <w:szCs w:val="20"/>
              </w:rPr>
            </w:pPr>
          </w:p>
        </w:tc>
        <w:tc>
          <w:tcPr>
            <w:tcW w:w="2397" w:type="dxa"/>
          </w:tcPr>
          <w:p w14:paraId="4D38713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95C71E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3A8B38E3"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0A122141"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0CFBE46A"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2F208AD7"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0E7B322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273F9FB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EDE128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w:t>
            </w:r>
            <w:proofErr w:type="gramStart"/>
            <w:r>
              <w:rPr>
                <w:rFonts w:cs="Times New Roman"/>
                <w:sz w:val="20"/>
                <w:szCs w:val="20"/>
              </w:rPr>
              <w:t xml:space="preserve">of  </w:t>
            </w:r>
            <w:r w:rsidRPr="00F927BF">
              <w:rPr>
                <w:rFonts w:cs="Times New Roman"/>
                <w:sz w:val="20"/>
                <w:szCs w:val="20"/>
              </w:rPr>
              <w:t>no</w:t>
            </w:r>
            <w:proofErr w:type="gramEnd"/>
            <w:r w:rsidRPr="00F927BF">
              <w:rPr>
                <w:rFonts w:cs="Times New Roman"/>
                <w:sz w:val="20"/>
                <w:szCs w:val="20"/>
              </w:rPr>
              <w:t xml:space="preserve">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3878CA7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859F6F2"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36767E4A"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7AD7B72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409AE81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11C7147A"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1D69366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9AEDC1"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5E638BB6" w14:textId="77777777" w:rsidR="005A503A" w:rsidRPr="00F927BF" w:rsidRDefault="005A503A" w:rsidP="005A503A">
            <w:pPr>
              <w:spacing w:before="120" w:line="252" w:lineRule="auto"/>
              <w:rPr>
                <w:rFonts w:cs="Times New Roman"/>
                <w:sz w:val="20"/>
                <w:szCs w:val="20"/>
              </w:rPr>
            </w:pPr>
          </w:p>
        </w:tc>
        <w:tc>
          <w:tcPr>
            <w:tcW w:w="2397" w:type="dxa"/>
          </w:tcPr>
          <w:p w14:paraId="2BF3B13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3EE34F1F"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315F29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2ACA2FD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04DAE1D4"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79FCEFE" w14:textId="77777777" w:rsidR="005A503A" w:rsidRPr="00F927BF" w:rsidRDefault="005A503A" w:rsidP="005A503A">
            <w:pPr>
              <w:spacing w:before="120" w:line="252" w:lineRule="auto"/>
              <w:rPr>
                <w:rFonts w:cs="Times New Roman"/>
                <w:sz w:val="20"/>
                <w:szCs w:val="20"/>
              </w:rPr>
            </w:pPr>
          </w:p>
        </w:tc>
        <w:tc>
          <w:tcPr>
            <w:tcW w:w="2397" w:type="dxa"/>
          </w:tcPr>
          <w:p w14:paraId="08D4C3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6AA3B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7187B2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113A4E4F"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62810009"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5C162D2C"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59CFE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173CA8F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0D29F08F"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w:t>
            </w:r>
            <w:proofErr w:type="gramStart"/>
            <w:r>
              <w:rPr>
                <w:rFonts w:cs="Times New Roman"/>
                <w:sz w:val="20"/>
                <w:szCs w:val="20"/>
              </w:rPr>
              <w:t xml:space="preserve">of  </w:t>
            </w:r>
            <w:r w:rsidRPr="00F927BF">
              <w:rPr>
                <w:rFonts w:cs="Times New Roman"/>
                <w:sz w:val="20"/>
                <w:szCs w:val="20"/>
              </w:rPr>
              <w:t>no</w:t>
            </w:r>
            <w:proofErr w:type="gramEnd"/>
            <w:r w:rsidRPr="00F927BF">
              <w:rPr>
                <w:rFonts w:cs="Times New Roman"/>
                <w:sz w:val="20"/>
                <w:szCs w:val="20"/>
              </w:rPr>
              <w:t xml:space="preserve">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1CFE4A9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32DB0659"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09EB5069"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2378784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FAB151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41559A6E"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0C123DD7"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1483311B"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178F4260"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6DF21FA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7CB483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34383762"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6BB1868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719E9F39"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07FF8BB0"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6D4F4810"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158C7F7B" w14:textId="77777777" w:rsidR="004A1962" w:rsidRPr="007F5874" w:rsidRDefault="004A1962" w:rsidP="00F85419">
      <w:pPr>
        <w:rPr>
          <w:rFonts w:cs="Times New Roman"/>
        </w:rPr>
      </w:pPr>
    </w:p>
    <w:p w14:paraId="063C8597" w14:textId="6BEAE4CD" w:rsidR="00822F5E" w:rsidRPr="00822F5E" w:rsidRDefault="0069195E" w:rsidP="00822F5E">
      <w:pPr>
        <w:pStyle w:val="EndNoteBibliography"/>
        <w:ind w:left="720" w:hanging="720"/>
      </w:pPr>
      <w:r w:rsidRPr="007F5874">
        <w:fldChar w:fldCharType="begin"/>
      </w:r>
      <w:r w:rsidR="004A1962" w:rsidRPr="007F5874">
        <w:instrText xml:space="preserve"> ADDIN EN.REFLIST </w:instrText>
      </w:r>
      <w:r w:rsidRPr="007F5874">
        <w:fldChar w:fldCharType="separate"/>
      </w:r>
      <w:bookmarkStart w:id="43" w:name="_ENREF_1"/>
      <w:r w:rsidR="00822F5E" w:rsidRPr="00822F5E">
        <w:t>(1)</w:t>
      </w:r>
      <w:r w:rsidR="00822F5E" w:rsidRPr="00822F5E">
        <w:tab/>
        <w:t xml:space="preserve">Einhaus, K. </w:t>
      </w:r>
      <w:r w:rsidR="00822F5E" w:rsidRPr="00822F5E">
        <w:rPr>
          <w:i/>
        </w:rPr>
        <w:t>ASCO Guidelines Methodology Manual</w:t>
      </w:r>
      <w:r w:rsidR="00822F5E" w:rsidRPr="00822F5E">
        <w:t>. &lt;</w:t>
      </w:r>
      <w:hyperlink r:id="rId38" w:anchor="GuidelineDevelopmentProcess-Quality" w:history="1">
        <w:r w:rsidR="00822F5E" w:rsidRPr="00822F5E">
          <w:rPr>
            <w:rStyle w:val="Hyperlink"/>
          </w:rPr>
          <w:t>https://pilotguidelines.atlassian.net/wiki/display/GW/Guideline+Development+Process#GuidelineDevelopmentProcess-Quality</w:t>
        </w:r>
      </w:hyperlink>
      <w:r w:rsidR="00822F5E" w:rsidRPr="00822F5E">
        <w:t>&gt; (2016). Accessed Jul 29 2016.</w:t>
      </w:r>
      <w:bookmarkEnd w:id="43"/>
    </w:p>
    <w:p w14:paraId="29476124" w14:textId="77777777" w:rsidR="00822F5E" w:rsidRPr="00822F5E" w:rsidRDefault="00822F5E" w:rsidP="00822F5E">
      <w:pPr>
        <w:pStyle w:val="EndNoteBibliography"/>
        <w:ind w:left="720" w:hanging="720"/>
      </w:pPr>
      <w:bookmarkStart w:id="44" w:name="_ENREF_2"/>
      <w:r w:rsidRPr="00822F5E">
        <w:t>(2)</w:t>
      </w:r>
      <w:r w:rsidRPr="00822F5E">
        <w:tab/>
        <w:t xml:space="preserve">Valdes, R., Payne, D.A. &amp; Linder, M.W. Laboratory analysis and application of pharmacogenetics to clinical practice. </w:t>
      </w:r>
      <w:r w:rsidRPr="00822F5E">
        <w:rPr>
          <w:i/>
        </w:rPr>
        <w:t>The National Academy of Clinical Biochemistry (NACB) - Laboratory Medicine Practice Guidelines</w:t>
      </w:r>
      <w:r w:rsidRPr="00822F5E">
        <w:t xml:space="preserve"> 2010.</w:t>
      </w:r>
      <w:bookmarkEnd w:id="44"/>
    </w:p>
    <w:p w14:paraId="1177CC48" w14:textId="77777777" w:rsidR="00822F5E" w:rsidRPr="00822F5E" w:rsidRDefault="00822F5E" w:rsidP="00822F5E">
      <w:pPr>
        <w:pStyle w:val="EndNoteBibliography"/>
        <w:ind w:left="720" w:hanging="720"/>
      </w:pPr>
      <w:bookmarkStart w:id="45" w:name="_ENREF_3"/>
      <w:r w:rsidRPr="00822F5E">
        <w:t>(3)</w:t>
      </w:r>
      <w:r w:rsidRPr="00822F5E">
        <w:tab/>
        <w:t xml:space="preserve">Relling, M.V. &amp; Klein, T.E. CPIC: Clinical Pharmacogenetics Implementation Consortium of the Pharmacogenomics Research Network. </w:t>
      </w:r>
      <w:r w:rsidRPr="00822F5E">
        <w:rPr>
          <w:i/>
        </w:rPr>
        <w:t>Clinical pharmacology and therapeutics</w:t>
      </w:r>
      <w:r w:rsidRPr="00822F5E">
        <w:t xml:space="preserve">  </w:t>
      </w:r>
      <w:r w:rsidRPr="00822F5E">
        <w:rPr>
          <w:b/>
        </w:rPr>
        <w:t>89</w:t>
      </w:r>
      <w:r w:rsidRPr="00822F5E">
        <w:t>, 464-7 (2011).</w:t>
      </w:r>
      <w:bookmarkEnd w:id="45"/>
    </w:p>
    <w:p w14:paraId="4BD745DF" w14:textId="77777777" w:rsidR="00822F5E" w:rsidRPr="00822F5E" w:rsidRDefault="00822F5E" w:rsidP="00822F5E">
      <w:pPr>
        <w:pStyle w:val="EndNoteBibliography"/>
        <w:ind w:left="720" w:hanging="720"/>
      </w:pPr>
      <w:bookmarkStart w:id="46" w:name="_ENREF_4"/>
      <w:r w:rsidRPr="00822F5E">
        <w:t>(4)</w:t>
      </w:r>
      <w:r w:rsidRPr="00822F5E">
        <w:tab/>
        <w:t>Adolescents, P.o.A.G.f.A.a. Guidelines for the use of antiretroviral agents in HIV-1-infected adults and adolescents. Department of Health and Human Services.   1-166 (2011).</w:t>
      </w:r>
      <w:bookmarkEnd w:id="46"/>
    </w:p>
    <w:p w14:paraId="6520F6A7" w14:textId="4D763B8C" w:rsidR="007A39A5" w:rsidRPr="007F5874" w:rsidRDefault="0069195E" w:rsidP="00B72F61">
      <w:pPr>
        <w:pStyle w:val="ListParagraph"/>
        <w:rPr>
          <w:rFonts w:cs="Times New Roman"/>
        </w:rPr>
      </w:pPr>
      <w:r w:rsidRPr="007F5874">
        <w:rPr>
          <w:rFonts w:cs="Times New Roman"/>
        </w:rPr>
        <w:fldChar w:fldCharType="end"/>
      </w:r>
    </w:p>
    <w:p w14:paraId="3CA36219" w14:textId="6558C850" w:rsidR="007A39A5" w:rsidRPr="007F5874" w:rsidRDefault="007A39A5" w:rsidP="007A39A5">
      <w:r w:rsidRPr="007F5874">
        <w:br w:type="page"/>
      </w:r>
    </w:p>
    <w:sectPr w:rsidR="007A39A5" w:rsidRPr="007F5874"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2DCF" w14:textId="77777777" w:rsidR="00D37C12" w:rsidRDefault="00D37C12" w:rsidP="00C819BF">
      <w:r>
        <w:separator/>
      </w:r>
    </w:p>
  </w:endnote>
  <w:endnote w:type="continuationSeparator" w:id="0">
    <w:p w14:paraId="3630089A" w14:textId="77777777" w:rsidR="00D37C12" w:rsidRDefault="00D37C12"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527267"/>
      <w:docPartObj>
        <w:docPartGallery w:val="Page Numbers (Bottom of Page)"/>
        <w:docPartUnique/>
      </w:docPartObj>
    </w:sdtPr>
    <w:sdtEndPr>
      <w:rPr>
        <w:noProof/>
      </w:rPr>
    </w:sdtEndPr>
    <w:sdtContent>
      <w:p w14:paraId="45ED52BA" w14:textId="6EC35D18" w:rsidR="00D37C12" w:rsidRDefault="00D37C12">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C8B7DB7" w14:textId="16ED8F51" w:rsidR="00D37C12" w:rsidRDefault="00D37C12" w:rsidP="00E0292C">
    <w:pPr>
      <w:pStyle w:val="Footer"/>
    </w:pPr>
    <w:r w:rsidRPr="00925237">
      <w:t>Posted 1</w:t>
    </w:r>
    <w:r>
      <w:t>7</w:t>
    </w:r>
    <w:r w:rsidRPr="00925237">
      <w:t xml:space="preserve"> Oct 2012; Revised </w:t>
    </w:r>
    <w:r>
      <w:t>15 May 2013; 11 Nov 2013; 22 July 2014; 8 Nov 2016; 9 May 2017; 5 Dec 2017; 3 July 2019</w:t>
    </w:r>
  </w:p>
  <w:p w14:paraId="4E62AEA5" w14:textId="77777777" w:rsidR="00D37C12" w:rsidRDefault="00D37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B1D2" w14:textId="77777777" w:rsidR="00D37C12" w:rsidRDefault="00D37C12" w:rsidP="00C819BF">
      <w:r>
        <w:separator/>
      </w:r>
    </w:p>
  </w:footnote>
  <w:footnote w:type="continuationSeparator" w:id="0">
    <w:p w14:paraId="4E6F51C8" w14:textId="77777777" w:rsidR="00D37C12" w:rsidRDefault="00D37C12" w:rsidP="00C81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CE7"/>
    <w:multiLevelType w:val="hybridMultilevel"/>
    <w:tmpl w:val="5A58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901BF6"/>
    <w:multiLevelType w:val="hybridMultilevel"/>
    <w:tmpl w:val="C4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8CB"/>
    <w:multiLevelType w:val="hybridMultilevel"/>
    <w:tmpl w:val="78B2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FE67F85"/>
    <w:multiLevelType w:val="hybridMultilevel"/>
    <w:tmpl w:val="AD62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33C04"/>
    <w:multiLevelType w:val="hybridMultilevel"/>
    <w:tmpl w:val="FC7CB6E0"/>
    <w:lvl w:ilvl="0" w:tplc="3F5C0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0"/>
  </w:num>
  <w:num w:numId="6">
    <w:abstractNumId w:val="31"/>
  </w:num>
  <w:num w:numId="7">
    <w:abstractNumId w:val="20"/>
  </w:num>
  <w:num w:numId="8">
    <w:abstractNumId w:val="21"/>
  </w:num>
  <w:num w:numId="9">
    <w:abstractNumId w:val="1"/>
  </w:num>
  <w:num w:numId="10">
    <w:abstractNumId w:val="17"/>
  </w:num>
  <w:num w:numId="11">
    <w:abstractNumId w:val="24"/>
  </w:num>
  <w:num w:numId="12">
    <w:abstractNumId w:val="19"/>
  </w:num>
  <w:num w:numId="13">
    <w:abstractNumId w:val="34"/>
  </w:num>
  <w:num w:numId="14">
    <w:abstractNumId w:val="9"/>
  </w:num>
  <w:num w:numId="15">
    <w:abstractNumId w:val="16"/>
  </w:num>
  <w:num w:numId="16">
    <w:abstractNumId w:val="22"/>
  </w:num>
  <w:num w:numId="17">
    <w:abstractNumId w:val="16"/>
    <w:lvlOverride w:ilvl="0">
      <w:startOverride w:val="1"/>
    </w:lvlOverride>
  </w:num>
  <w:num w:numId="18">
    <w:abstractNumId w:val="16"/>
    <w:lvlOverride w:ilvl="0">
      <w:startOverride w:val="4"/>
    </w:lvlOverride>
  </w:num>
  <w:num w:numId="19">
    <w:abstractNumId w:val="4"/>
  </w:num>
  <w:num w:numId="20">
    <w:abstractNumId w:val="32"/>
  </w:num>
  <w:num w:numId="21">
    <w:abstractNumId w:val="6"/>
  </w:num>
  <w:num w:numId="22">
    <w:abstractNumId w:val="23"/>
  </w:num>
  <w:num w:numId="23">
    <w:abstractNumId w:val="18"/>
  </w:num>
  <w:num w:numId="24">
    <w:abstractNumId w:val="30"/>
  </w:num>
  <w:num w:numId="25">
    <w:abstractNumId w:val="12"/>
  </w:num>
  <w:num w:numId="26">
    <w:abstractNumId w:val="14"/>
  </w:num>
  <w:num w:numId="27">
    <w:abstractNumId w:val="25"/>
  </w:num>
  <w:num w:numId="28">
    <w:abstractNumId w:val="28"/>
  </w:num>
  <w:num w:numId="29">
    <w:abstractNumId w:val="33"/>
  </w:num>
  <w:num w:numId="30">
    <w:abstractNumId w:val="15"/>
  </w:num>
  <w:num w:numId="31">
    <w:abstractNumId w:val="30"/>
    <w:lvlOverride w:ilvl="0">
      <w:startOverride w:val="16"/>
    </w:lvlOverride>
  </w:num>
  <w:num w:numId="32">
    <w:abstractNumId w:val="3"/>
  </w:num>
  <w:num w:numId="33">
    <w:abstractNumId w:val="29"/>
  </w:num>
  <w:num w:numId="34">
    <w:abstractNumId w:val="13"/>
  </w:num>
  <w:num w:numId="35">
    <w:abstractNumId w:val="8"/>
  </w:num>
  <w:num w:numId="36">
    <w:abstractNumId w:val="5"/>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5dfzaz06vsf0ketf5qxf95q9ertffrp0rxs&quot;&gt;SOP&lt;record-ids&gt;&lt;item&gt;1&lt;/item&gt;&lt;item&gt;2&lt;/item&gt;&lt;item&gt;3&lt;/item&gt;&lt;item&gt;4&lt;/item&gt;&lt;/record-ids&gt;&lt;/item&gt;&lt;/Libraries&gt;"/>
  </w:docVars>
  <w:rsids>
    <w:rsidRoot w:val="002C07FF"/>
    <w:rsid w:val="00005E21"/>
    <w:rsid w:val="00013E2B"/>
    <w:rsid w:val="00015C1D"/>
    <w:rsid w:val="000176C8"/>
    <w:rsid w:val="00020189"/>
    <w:rsid w:val="000208A8"/>
    <w:rsid w:val="0002187D"/>
    <w:rsid w:val="00031199"/>
    <w:rsid w:val="00032301"/>
    <w:rsid w:val="00040077"/>
    <w:rsid w:val="00041C8D"/>
    <w:rsid w:val="00043683"/>
    <w:rsid w:val="00056B4F"/>
    <w:rsid w:val="000604AF"/>
    <w:rsid w:val="000606B8"/>
    <w:rsid w:val="00060A2E"/>
    <w:rsid w:val="00066BFE"/>
    <w:rsid w:val="0007012E"/>
    <w:rsid w:val="00073422"/>
    <w:rsid w:val="00074695"/>
    <w:rsid w:val="00074CAD"/>
    <w:rsid w:val="00091D96"/>
    <w:rsid w:val="00093A3E"/>
    <w:rsid w:val="000961D0"/>
    <w:rsid w:val="000971CA"/>
    <w:rsid w:val="000A1B2F"/>
    <w:rsid w:val="000A1C8F"/>
    <w:rsid w:val="000A2671"/>
    <w:rsid w:val="000A333B"/>
    <w:rsid w:val="000A511A"/>
    <w:rsid w:val="000A5DC2"/>
    <w:rsid w:val="000C1581"/>
    <w:rsid w:val="000C430E"/>
    <w:rsid w:val="000D0AEF"/>
    <w:rsid w:val="000D75A5"/>
    <w:rsid w:val="000E14D8"/>
    <w:rsid w:val="000E2309"/>
    <w:rsid w:val="000F2B98"/>
    <w:rsid w:val="000F6DB6"/>
    <w:rsid w:val="001002CB"/>
    <w:rsid w:val="00103E8F"/>
    <w:rsid w:val="001153C3"/>
    <w:rsid w:val="00131E63"/>
    <w:rsid w:val="00132CDB"/>
    <w:rsid w:val="00135977"/>
    <w:rsid w:val="0014340E"/>
    <w:rsid w:val="001443DB"/>
    <w:rsid w:val="001475C0"/>
    <w:rsid w:val="00151DBC"/>
    <w:rsid w:val="00160DA6"/>
    <w:rsid w:val="00167057"/>
    <w:rsid w:val="00170F18"/>
    <w:rsid w:val="00171D0E"/>
    <w:rsid w:val="00175968"/>
    <w:rsid w:val="00176CF5"/>
    <w:rsid w:val="00182DF4"/>
    <w:rsid w:val="001846A8"/>
    <w:rsid w:val="00185C14"/>
    <w:rsid w:val="001911FA"/>
    <w:rsid w:val="001B4E51"/>
    <w:rsid w:val="001C2059"/>
    <w:rsid w:val="001C4CC4"/>
    <w:rsid w:val="001D2217"/>
    <w:rsid w:val="001D301A"/>
    <w:rsid w:val="001D49AC"/>
    <w:rsid w:val="001D4A17"/>
    <w:rsid w:val="001D69AD"/>
    <w:rsid w:val="001D713B"/>
    <w:rsid w:val="001E3B1C"/>
    <w:rsid w:val="001E5224"/>
    <w:rsid w:val="001F3562"/>
    <w:rsid w:val="00202FCD"/>
    <w:rsid w:val="00205256"/>
    <w:rsid w:val="0020590A"/>
    <w:rsid w:val="0021476F"/>
    <w:rsid w:val="0021477F"/>
    <w:rsid w:val="00223583"/>
    <w:rsid w:val="0022696A"/>
    <w:rsid w:val="00232D7F"/>
    <w:rsid w:val="00244B8E"/>
    <w:rsid w:val="00245157"/>
    <w:rsid w:val="002476D6"/>
    <w:rsid w:val="00250B17"/>
    <w:rsid w:val="00252079"/>
    <w:rsid w:val="00252BD4"/>
    <w:rsid w:val="00256A60"/>
    <w:rsid w:val="00257F7C"/>
    <w:rsid w:val="00262526"/>
    <w:rsid w:val="002647FD"/>
    <w:rsid w:val="0026499F"/>
    <w:rsid w:val="00271A87"/>
    <w:rsid w:val="0027527B"/>
    <w:rsid w:val="002810C5"/>
    <w:rsid w:val="0028237D"/>
    <w:rsid w:val="00286C4A"/>
    <w:rsid w:val="002922C3"/>
    <w:rsid w:val="00292E25"/>
    <w:rsid w:val="0029387E"/>
    <w:rsid w:val="0029599A"/>
    <w:rsid w:val="00296B2C"/>
    <w:rsid w:val="002A0A69"/>
    <w:rsid w:val="002A4970"/>
    <w:rsid w:val="002B25FB"/>
    <w:rsid w:val="002B26CD"/>
    <w:rsid w:val="002B3E0D"/>
    <w:rsid w:val="002B4778"/>
    <w:rsid w:val="002C07FF"/>
    <w:rsid w:val="002C5B6F"/>
    <w:rsid w:val="002D018E"/>
    <w:rsid w:val="002D487E"/>
    <w:rsid w:val="002D4E38"/>
    <w:rsid w:val="002D550A"/>
    <w:rsid w:val="002E0801"/>
    <w:rsid w:val="002E1E5A"/>
    <w:rsid w:val="002E3A4E"/>
    <w:rsid w:val="002E5DDB"/>
    <w:rsid w:val="002E741F"/>
    <w:rsid w:val="002F112B"/>
    <w:rsid w:val="002F25C0"/>
    <w:rsid w:val="002F2BCE"/>
    <w:rsid w:val="002F57D2"/>
    <w:rsid w:val="002F5B33"/>
    <w:rsid w:val="002F7F84"/>
    <w:rsid w:val="00301A95"/>
    <w:rsid w:val="0030697A"/>
    <w:rsid w:val="00312EA4"/>
    <w:rsid w:val="0031313E"/>
    <w:rsid w:val="0031656D"/>
    <w:rsid w:val="00316877"/>
    <w:rsid w:val="003256C6"/>
    <w:rsid w:val="00325745"/>
    <w:rsid w:val="0032595C"/>
    <w:rsid w:val="00330765"/>
    <w:rsid w:val="00333360"/>
    <w:rsid w:val="00334998"/>
    <w:rsid w:val="003421E9"/>
    <w:rsid w:val="00342ABB"/>
    <w:rsid w:val="003437DC"/>
    <w:rsid w:val="00344C9C"/>
    <w:rsid w:val="00351408"/>
    <w:rsid w:val="00351D6E"/>
    <w:rsid w:val="00353041"/>
    <w:rsid w:val="00356C23"/>
    <w:rsid w:val="00361860"/>
    <w:rsid w:val="00365C6B"/>
    <w:rsid w:val="003663E3"/>
    <w:rsid w:val="003777F8"/>
    <w:rsid w:val="00387647"/>
    <w:rsid w:val="00396422"/>
    <w:rsid w:val="00396434"/>
    <w:rsid w:val="003973D1"/>
    <w:rsid w:val="003A2118"/>
    <w:rsid w:val="003A40E3"/>
    <w:rsid w:val="003A71CC"/>
    <w:rsid w:val="003B3F50"/>
    <w:rsid w:val="003B7597"/>
    <w:rsid w:val="003C16F4"/>
    <w:rsid w:val="003C1740"/>
    <w:rsid w:val="003C53FF"/>
    <w:rsid w:val="003C5680"/>
    <w:rsid w:val="003C650E"/>
    <w:rsid w:val="003D1746"/>
    <w:rsid w:val="003D5C94"/>
    <w:rsid w:val="003E0533"/>
    <w:rsid w:val="003E2209"/>
    <w:rsid w:val="003F5539"/>
    <w:rsid w:val="00402289"/>
    <w:rsid w:val="00405CFF"/>
    <w:rsid w:val="00407448"/>
    <w:rsid w:val="00412BC5"/>
    <w:rsid w:val="004143FE"/>
    <w:rsid w:val="00414891"/>
    <w:rsid w:val="004156E3"/>
    <w:rsid w:val="004254D0"/>
    <w:rsid w:val="00440398"/>
    <w:rsid w:val="00444D18"/>
    <w:rsid w:val="00446122"/>
    <w:rsid w:val="004664B0"/>
    <w:rsid w:val="00467601"/>
    <w:rsid w:val="0047050D"/>
    <w:rsid w:val="00470583"/>
    <w:rsid w:val="00473D7B"/>
    <w:rsid w:val="00480AF6"/>
    <w:rsid w:val="00481909"/>
    <w:rsid w:val="004857DB"/>
    <w:rsid w:val="00485E9C"/>
    <w:rsid w:val="004861E4"/>
    <w:rsid w:val="00496ACD"/>
    <w:rsid w:val="004A1894"/>
    <w:rsid w:val="004A1962"/>
    <w:rsid w:val="004A3717"/>
    <w:rsid w:val="004A37BF"/>
    <w:rsid w:val="004B5B3C"/>
    <w:rsid w:val="004C03CA"/>
    <w:rsid w:val="004C1E44"/>
    <w:rsid w:val="004C2744"/>
    <w:rsid w:val="004C69B5"/>
    <w:rsid w:val="004D607D"/>
    <w:rsid w:val="004E1D11"/>
    <w:rsid w:val="004E548E"/>
    <w:rsid w:val="004F7DA5"/>
    <w:rsid w:val="00507110"/>
    <w:rsid w:val="00510685"/>
    <w:rsid w:val="00514AF9"/>
    <w:rsid w:val="00516BDE"/>
    <w:rsid w:val="00521FF1"/>
    <w:rsid w:val="00534287"/>
    <w:rsid w:val="00535014"/>
    <w:rsid w:val="005355D8"/>
    <w:rsid w:val="0053632F"/>
    <w:rsid w:val="00547255"/>
    <w:rsid w:val="0055162F"/>
    <w:rsid w:val="00557C03"/>
    <w:rsid w:val="00562C70"/>
    <w:rsid w:val="00567073"/>
    <w:rsid w:val="005778EC"/>
    <w:rsid w:val="00577FE1"/>
    <w:rsid w:val="00580A79"/>
    <w:rsid w:val="00580CE3"/>
    <w:rsid w:val="00583835"/>
    <w:rsid w:val="00593932"/>
    <w:rsid w:val="005954B3"/>
    <w:rsid w:val="005957F1"/>
    <w:rsid w:val="00595AD0"/>
    <w:rsid w:val="00595B9A"/>
    <w:rsid w:val="005A49EF"/>
    <w:rsid w:val="005A503A"/>
    <w:rsid w:val="005B05F5"/>
    <w:rsid w:val="005B4110"/>
    <w:rsid w:val="005B5E21"/>
    <w:rsid w:val="005C0233"/>
    <w:rsid w:val="005C4A1E"/>
    <w:rsid w:val="005C7246"/>
    <w:rsid w:val="005D2D0F"/>
    <w:rsid w:val="005D4FBA"/>
    <w:rsid w:val="005D7277"/>
    <w:rsid w:val="005E03F3"/>
    <w:rsid w:val="005E21F7"/>
    <w:rsid w:val="005E321D"/>
    <w:rsid w:val="005F105C"/>
    <w:rsid w:val="005F18A4"/>
    <w:rsid w:val="005F2C30"/>
    <w:rsid w:val="005F59C2"/>
    <w:rsid w:val="006048EE"/>
    <w:rsid w:val="00605832"/>
    <w:rsid w:val="0060735A"/>
    <w:rsid w:val="00607A49"/>
    <w:rsid w:val="006117C4"/>
    <w:rsid w:val="0061474F"/>
    <w:rsid w:val="00615408"/>
    <w:rsid w:val="00625A00"/>
    <w:rsid w:val="0063632F"/>
    <w:rsid w:val="00636801"/>
    <w:rsid w:val="006373EB"/>
    <w:rsid w:val="00642516"/>
    <w:rsid w:val="00645EC6"/>
    <w:rsid w:val="00646F10"/>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5086"/>
    <w:rsid w:val="006A0EA1"/>
    <w:rsid w:val="006A22A0"/>
    <w:rsid w:val="006A60A8"/>
    <w:rsid w:val="006A6AD5"/>
    <w:rsid w:val="006B5DB2"/>
    <w:rsid w:val="006B7154"/>
    <w:rsid w:val="006B7FED"/>
    <w:rsid w:val="006C3E9D"/>
    <w:rsid w:val="006D10BA"/>
    <w:rsid w:val="006D379C"/>
    <w:rsid w:val="006D46D0"/>
    <w:rsid w:val="006D5AA6"/>
    <w:rsid w:val="006D7A15"/>
    <w:rsid w:val="006E7693"/>
    <w:rsid w:val="006F0C46"/>
    <w:rsid w:val="006F49F2"/>
    <w:rsid w:val="00703DB3"/>
    <w:rsid w:val="00703F66"/>
    <w:rsid w:val="0070654F"/>
    <w:rsid w:val="00713F9B"/>
    <w:rsid w:val="00716AAD"/>
    <w:rsid w:val="00720E4A"/>
    <w:rsid w:val="00721320"/>
    <w:rsid w:val="00723912"/>
    <w:rsid w:val="00736CB7"/>
    <w:rsid w:val="0074105E"/>
    <w:rsid w:val="00746C70"/>
    <w:rsid w:val="00750A4A"/>
    <w:rsid w:val="007704E5"/>
    <w:rsid w:val="00775134"/>
    <w:rsid w:val="00775741"/>
    <w:rsid w:val="00786D23"/>
    <w:rsid w:val="007A022E"/>
    <w:rsid w:val="007A39A5"/>
    <w:rsid w:val="007B0A3E"/>
    <w:rsid w:val="007B2AFD"/>
    <w:rsid w:val="007B5026"/>
    <w:rsid w:val="007B61AD"/>
    <w:rsid w:val="007C0130"/>
    <w:rsid w:val="007D00EA"/>
    <w:rsid w:val="007D084A"/>
    <w:rsid w:val="007D307D"/>
    <w:rsid w:val="007D4295"/>
    <w:rsid w:val="007E309C"/>
    <w:rsid w:val="007E398D"/>
    <w:rsid w:val="007E3FC7"/>
    <w:rsid w:val="007E5927"/>
    <w:rsid w:val="007E745D"/>
    <w:rsid w:val="007F0138"/>
    <w:rsid w:val="007F1918"/>
    <w:rsid w:val="007F5874"/>
    <w:rsid w:val="008023F7"/>
    <w:rsid w:val="008077D5"/>
    <w:rsid w:val="0081093D"/>
    <w:rsid w:val="008217E7"/>
    <w:rsid w:val="00822F5E"/>
    <w:rsid w:val="0082564B"/>
    <w:rsid w:val="00827849"/>
    <w:rsid w:val="00834064"/>
    <w:rsid w:val="00835745"/>
    <w:rsid w:val="008359FD"/>
    <w:rsid w:val="00844025"/>
    <w:rsid w:val="00847EA7"/>
    <w:rsid w:val="00855608"/>
    <w:rsid w:val="00857370"/>
    <w:rsid w:val="008607B1"/>
    <w:rsid w:val="00864515"/>
    <w:rsid w:val="00871A5D"/>
    <w:rsid w:val="008751C1"/>
    <w:rsid w:val="00880F01"/>
    <w:rsid w:val="0089420C"/>
    <w:rsid w:val="00896806"/>
    <w:rsid w:val="008A0B13"/>
    <w:rsid w:val="008A48F9"/>
    <w:rsid w:val="008A4CFE"/>
    <w:rsid w:val="008A60D4"/>
    <w:rsid w:val="008A6760"/>
    <w:rsid w:val="008B78EF"/>
    <w:rsid w:val="008C33E6"/>
    <w:rsid w:val="008D40FC"/>
    <w:rsid w:val="008D67E9"/>
    <w:rsid w:val="008E0ADA"/>
    <w:rsid w:val="008E4B3D"/>
    <w:rsid w:val="008E5509"/>
    <w:rsid w:val="008E6350"/>
    <w:rsid w:val="008F2AC8"/>
    <w:rsid w:val="008F3A89"/>
    <w:rsid w:val="00903F4E"/>
    <w:rsid w:val="00907194"/>
    <w:rsid w:val="009075C9"/>
    <w:rsid w:val="00921CE7"/>
    <w:rsid w:val="0093098D"/>
    <w:rsid w:val="009361FA"/>
    <w:rsid w:val="00937168"/>
    <w:rsid w:val="00943B3C"/>
    <w:rsid w:val="00944E35"/>
    <w:rsid w:val="00952503"/>
    <w:rsid w:val="00982575"/>
    <w:rsid w:val="00985C64"/>
    <w:rsid w:val="009975FE"/>
    <w:rsid w:val="00997D75"/>
    <w:rsid w:val="009A019E"/>
    <w:rsid w:val="009A40B0"/>
    <w:rsid w:val="009A447C"/>
    <w:rsid w:val="009A7E4F"/>
    <w:rsid w:val="009B7BFD"/>
    <w:rsid w:val="009C0D78"/>
    <w:rsid w:val="009C3355"/>
    <w:rsid w:val="009C342C"/>
    <w:rsid w:val="009D0308"/>
    <w:rsid w:val="009D4A79"/>
    <w:rsid w:val="009D6707"/>
    <w:rsid w:val="009D67F8"/>
    <w:rsid w:val="009E0E95"/>
    <w:rsid w:val="009E2C87"/>
    <w:rsid w:val="009E4EB9"/>
    <w:rsid w:val="009E55FB"/>
    <w:rsid w:val="009F3373"/>
    <w:rsid w:val="009F427C"/>
    <w:rsid w:val="00A012CF"/>
    <w:rsid w:val="00A034C9"/>
    <w:rsid w:val="00A03716"/>
    <w:rsid w:val="00A04A07"/>
    <w:rsid w:val="00A106BC"/>
    <w:rsid w:val="00A121F9"/>
    <w:rsid w:val="00A16544"/>
    <w:rsid w:val="00A202B9"/>
    <w:rsid w:val="00A24544"/>
    <w:rsid w:val="00A245C8"/>
    <w:rsid w:val="00A25A59"/>
    <w:rsid w:val="00A26EDB"/>
    <w:rsid w:val="00A3001D"/>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59CB"/>
    <w:rsid w:val="00A86260"/>
    <w:rsid w:val="00A87D22"/>
    <w:rsid w:val="00A92471"/>
    <w:rsid w:val="00A93967"/>
    <w:rsid w:val="00A93ED0"/>
    <w:rsid w:val="00A94CE4"/>
    <w:rsid w:val="00A9516D"/>
    <w:rsid w:val="00A97B0D"/>
    <w:rsid w:val="00AA47CB"/>
    <w:rsid w:val="00AB3812"/>
    <w:rsid w:val="00AB4371"/>
    <w:rsid w:val="00AB6004"/>
    <w:rsid w:val="00AC0A8E"/>
    <w:rsid w:val="00AC4272"/>
    <w:rsid w:val="00AC69F5"/>
    <w:rsid w:val="00AC7915"/>
    <w:rsid w:val="00AC7DEC"/>
    <w:rsid w:val="00AE2D7E"/>
    <w:rsid w:val="00AE2EC1"/>
    <w:rsid w:val="00AE40A8"/>
    <w:rsid w:val="00AE6E5C"/>
    <w:rsid w:val="00AF01F7"/>
    <w:rsid w:val="00AF04FB"/>
    <w:rsid w:val="00AF6775"/>
    <w:rsid w:val="00B044C6"/>
    <w:rsid w:val="00B0645A"/>
    <w:rsid w:val="00B203BA"/>
    <w:rsid w:val="00B230E0"/>
    <w:rsid w:val="00B27402"/>
    <w:rsid w:val="00B33D95"/>
    <w:rsid w:val="00B43078"/>
    <w:rsid w:val="00B45CCB"/>
    <w:rsid w:val="00B55640"/>
    <w:rsid w:val="00B60929"/>
    <w:rsid w:val="00B63EA8"/>
    <w:rsid w:val="00B72F61"/>
    <w:rsid w:val="00B8022E"/>
    <w:rsid w:val="00B82BF5"/>
    <w:rsid w:val="00B83727"/>
    <w:rsid w:val="00B96B2C"/>
    <w:rsid w:val="00B971C9"/>
    <w:rsid w:val="00BA0760"/>
    <w:rsid w:val="00BA0A18"/>
    <w:rsid w:val="00BA1610"/>
    <w:rsid w:val="00BB018C"/>
    <w:rsid w:val="00BB02EC"/>
    <w:rsid w:val="00BB246C"/>
    <w:rsid w:val="00BB4508"/>
    <w:rsid w:val="00BD22A2"/>
    <w:rsid w:val="00BE790B"/>
    <w:rsid w:val="00BF09AE"/>
    <w:rsid w:val="00BF176B"/>
    <w:rsid w:val="00C013C3"/>
    <w:rsid w:val="00C0161F"/>
    <w:rsid w:val="00C03008"/>
    <w:rsid w:val="00C05126"/>
    <w:rsid w:val="00C15442"/>
    <w:rsid w:val="00C2131E"/>
    <w:rsid w:val="00C235CD"/>
    <w:rsid w:val="00C251EB"/>
    <w:rsid w:val="00C267E0"/>
    <w:rsid w:val="00C32DB3"/>
    <w:rsid w:val="00C4035E"/>
    <w:rsid w:val="00C409B7"/>
    <w:rsid w:val="00C471B5"/>
    <w:rsid w:val="00C52503"/>
    <w:rsid w:val="00C61240"/>
    <w:rsid w:val="00C708B9"/>
    <w:rsid w:val="00C819BF"/>
    <w:rsid w:val="00C81C69"/>
    <w:rsid w:val="00C81C8B"/>
    <w:rsid w:val="00C8245B"/>
    <w:rsid w:val="00C860C9"/>
    <w:rsid w:val="00CA0B6D"/>
    <w:rsid w:val="00CA0F72"/>
    <w:rsid w:val="00CA3F00"/>
    <w:rsid w:val="00CB35CF"/>
    <w:rsid w:val="00CB6EA7"/>
    <w:rsid w:val="00CC360C"/>
    <w:rsid w:val="00CD0A15"/>
    <w:rsid w:val="00CE69B9"/>
    <w:rsid w:val="00CF2464"/>
    <w:rsid w:val="00D26EE1"/>
    <w:rsid w:val="00D2712E"/>
    <w:rsid w:val="00D27C75"/>
    <w:rsid w:val="00D31B4F"/>
    <w:rsid w:val="00D33497"/>
    <w:rsid w:val="00D3352B"/>
    <w:rsid w:val="00D37351"/>
    <w:rsid w:val="00D37C12"/>
    <w:rsid w:val="00D426BF"/>
    <w:rsid w:val="00D52B9A"/>
    <w:rsid w:val="00D550E6"/>
    <w:rsid w:val="00D559B8"/>
    <w:rsid w:val="00D579D0"/>
    <w:rsid w:val="00D66C65"/>
    <w:rsid w:val="00D6798E"/>
    <w:rsid w:val="00D70B7C"/>
    <w:rsid w:val="00D72284"/>
    <w:rsid w:val="00D722A3"/>
    <w:rsid w:val="00D7248D"/>
    <w:rsid w:val="00D81673"/>
    <w:rsid w:val="00D841FF"/>
    <w:rsid w:val="00D93CC8"/>
    <w:rsid w:val="00D95FE6"/>
    <w:rsid w:val="00DA0138"/>
    <w:rsid w:val="00DA1BAA"/>
    <w:rsid w:val="00DA5DD7"/>
    <w:rsid w:val="00DB1924"/>
    <w:rsid w:val="00DB3507"/>
    <w:rsid w:val="00DB69DA"/>
    <w:rsid w:val="00DB7A56"/>
    <w:rsid w:val="00DC0214"/>
    <w:rsid w:val="00DC29B1"/>
    <w:rsid w:val="00DC3A65"/>
    <w:rsid w:val="00DD4684"/>
    <w:rsid w:val="00DD488A"/>
    <w:rsid w:val="00DD6793"/>
    <w:rsid w:val="00DE05FE"/>
    <w:rsid w:val="00DE0E01"/>
    <w:rsid w:val="00DE34CC"/>
    <w:rsid w:val="00DE46FD"/>
    <w:rsid w:val="00DE4F77"/>
    <w:rsid w:val="00DF1368"/>
    <w:rsid w:val="00DF263C"/>
    <w:rsid w:val="00DF2CF3"/>
    <w:rsid w:val="00E00EC8"/>
    <w:rsid w:val="00E01656"/>
    <w:rsid w:val="00E0292C"/>
    <w:rsid w:val="00E1020A"/>
    <w:rsid w:val="00E11AD2"/>
    <w:rsid w:val="00E135EF"/>
    <w:rsid w:val="00E218C1"/>
    <w:rsid w:val="00E26046"/>
    <w:rsid w:val="00E330EC"/>
    <w:rsid w:val="00E35CE3"/>
    <w:rsid w:val="00E51CBE"/>
    <w:rsid w:val="00E5433C"/>
    <w:rsid w:val="00E55AC4"/>
    <w:rsid w:val="00E65D8A"/>
    <w:rsid w:val="00E750FC"/>
    <w:rsid w:val="00E8073B"/>
    <w:rsid w:val="00E80991"/>
    <w:rsid w:val="00E80B3A"/>
    <w:rsid w:val="00E81216"/>
    <w:rsid w:val="00E81AB7"/>
    <w:rsid w:val="00E83ACD"/>
    <w:rsid w:val="00E934B8"/>
    <w:rsid w:val="00E96CF7"/>
    <w:rsid w:val="00EA2C71"/>
    <w:rsid w:val="00EB09EE"/>
    <w:rsid w:val="00EB2780"/>
    <w:rsid w:val="00EB58F1"/>
    <w:rsid w:val="00ED788D"/>
    <w:rsid w:val="00EF0B73"/>
    <w:rsid w:val="00EF7494"/>
    <w:rsid w:val="00EF7E2A"/>
    <w:rsid w:val="00F1421C"/>
    <w:rsid w:val="00F14E6E"/>
    <w:rsid w:val="00F16984"/>
    <w:rsid w:val="00F16E15"/>
    <w:rsid w:val="00F17093"/>
    <w:rsid w:val="00F23DB2"/>
    <w:rsid w:val="00F273EB"/>
    <w:rsid w:val="00F333EB"/>
    <w:rsid w:val="00F339E7"/>
    <w:rsid w:val="00F36E16"/>
    <w:rsid w:val="00F40799"/>
    <w:rsid w:val="00F437DD"/>
    <w:rsid w:val="00F45437"/>
    <w:rsid w:val="00F455BD"/>
    <w:rsid w:val="00F60A72"/>
    <w:rsid w:val="00F62EA4"/>
    <w:rsid w:val="00F66B2F"/>
    <w:rsid w:val="00F67E8B"/>
    <w:rsid w:val="00F70CAD"/>
    <w:rsid w:val="00F73D93"/>
    <w:rsid w:val="00F81D08"/>
    <w:rsid w:val="00F85419"/>
    <w:rsid w:val="00F85A4D"/>
    <w:rsid w:val="00F86067"/>
    <w:rsid w:val="00F86548"/>
    <w:rsid w:val="00F93C59"/>
    <w:rsid w:val="00F96D34"/>
    <w:rsid w:val="00FA2F27"/>
    <w:rsid w:val="00FA3A17"/>
    <w:rsid w:val="00FA3DAC"/>
    <w:rsid w:val="00FA5F9B"/>
    <w:rsid w:val="00FA7786"/>
    <w:rsid w:val="00FA7AA8"/>
    <w:rsid w:val="00FB1919"/>
    <w:rsid w:val="00FB4073"/>
    <w:rsid w:val="00FC0E7B"/>
    <w:rsid w:val="00FC4493"/>
    <w:rsid w:val="00FC6016"/>
    <w:rsid w:val="00FC64F8"/>
    <w:rsid w:val="00FD2D77"/>
    <w:rsid w:val="00FD3F34"/>
    <w:rsid w:val="00FD5C1B"/>
    <w:rsid w:val="00FE0D9F"/>
    <w:rsid w:val="00FE1550"/>
    <w:rsid w:val="00FE214E"/>
    <w:rsid w:val="00FE58D9"/>
    <w:rsid w:val="00FE6840"/>
    <w:rsid w:val="00FE7C94"/>
    <w:rsid w:val="00FF1B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5B07DC52"/>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822F5E"/>
    <w:pPr>
      <w:jc w:val="center"/>
    </w:pPr>
    <w:rPr>
      <w:rFonts w:cs="Times New Roman"/>
      <w:noProof/>
    </w:rPr>
  </w:style>
  <w:style w:type="character" w:customStyle="1" w:styleId="ListParagraphChar">
    <w:name w:val="List Paragraph Char"/>
    <w:basedOn w:val="DefaultParagraphFont"/>
    <w:link w:val="ListParagraph"/>
    <w:uiPriority w:val="34"/>
    <w:rsid w:val="00822F5E"/>
    <w:rPr>
      <w:rFonts w:ascii="Times New Roman" w:hAnsi="Times New Roman"/>
    </w:rPr>
  </w:style>
  <w:style w:type="character" w:customStyle="1" w:styleId="EndNoteBibliographyTitleChar">
    <w:name w:val="EndNote Bibliography Title Char"/>
    <w:basedOn w:val="ListParagraphChar"/>
    <w:link w:val="EndNoteBibliographyTitle"/>
    <w:rsid w:val="00822F5E"/>
    <w:rPr>
      <w:rFonts w:ascii="Times New Roman" w:hAnsi="Times New Roman" w:cs="Times New Roman"/>
      <w:noProof/>
    </w:rPr>
  </w:style>
  <w:style w:type="paragraph" w:customStyle="1" w:styleId="EndNoteBibliography">
    <w:name w:val="EndNote Bibliography"/>
    <w:basedOn w:val="Normal"/>
    <w:link w:val="EndNoteBibliographyChar"/>
    <w:rsid w:val="00822F5E"/>
    <w:rPr>
      <w:rFonts w:cs="Times New Roman"/>
      <w:noProof/>
    </w:rPr>
  </w:style>
  <w:style w:type="character" w:customStyle="1" w:styleId="EndNoteBibliographyChar">
    <w:name w:val="EndNote Bibliography Char"/>
    <w:basedOn w:val="ListParagraphChar"/>
    <w:link w:val="EndNoteBibliography"/>
    <w:rsid w:val="00822F5E"/>
    <w:rPr>
      <w:rFonts w:ascii="Times New Roman" w:hAnsi="Times New Roman" w:cs="Times New Roman"/>
      <w:noProof/>
    </w:rPr>
  </w:style>
  <w:style w:type="character" w:styleId="UnresolvedMention">
    <w:name w:val="Unresolved Mention"/>
    <w:basedOn w:val="DefaultParagraphFont"/>
    <w:uiPriority w:val="99"/>
    <w:semiHidden/>
    <w:unhideWhenUsed/>
    <w:rsid w:val="00D3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568543114">
      <w:bodyDiv w:val="1"/>
      <w:marLeft w:val="0"/>
      <w:marRight w:val="0"/>
      <w:marTop w:val="0"/>
      <w:marBottom w:val="0"/>
      <w:divBdr>
        <w:top w:val="none" w:sz="0" w:space="0" w:color="auto"/>
        <w:left w:val="none" w:sz="0" w:space="0" w:color="auto"/>
        <w:bottom w:val="none" w:sz="0" w:space="0" w:color="auto"/>
        <w:right w:val="none" w:sz="0" w:space="0" w:color="auto"/>
      </w:divBdr>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authorship-on-cpic-guidelines/" TargetMode="External"/><Relationship Id="rId13" Type="http://schemas.openxmlformats.org/officeDocument/2006/relationships/hyperlink" Target="https://cpicpgx.org/authorship-on-cpic-guidelines/" TargetMode="External"/><Relationship Id="rId18" Type="http://schemas.openxmlformats.org/officeDocument/2006/relationships/image" Target="media/image2.png"/><Relationship Id="rId26" Type="http://schemas.openxmlformats.org/officeDocument/2006/relationships/hyperlink" Target="mailto:adriana.malheiro@nih.gov"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cbi.nlm.nih.gov/gtr/" TargetMode="External"/><Relationship Id="rId34" Type="http://schemas.openxmlformats.org/officeDocument/2006/relationships/hyperlink" Target="mailto:cpic@pharmgkb.org" TargetMode="External"/><Relationship Id="rId7" Type="http://schemas.openxmlformats.org/officeDocument/2006/relationships/footer" Target="footer1.xml"/><Relationship Id="rId12" Type="http://schemas.openxmlformats.org/officeDocument/2006/relationships/hyperlink" Target="https://cpicpgx.org/authorship-on-cpic-guidelines/" TargetMode="External"/><Relationship Id="rId17" Type="http://schemas.openxmlformats.org/officeDocument/2006/relationships/image" Target="media/image1.png"/><Relationship Id="rId25" Type="http://schemas.openxmlformats.org/officeDocument/2006/relationships/hyperlink" Target="mailto:chkelly@ncbi.nlm.nih.gov" TargetMode="External"/><Relationship Id="rId33" Type="http://schemas.openxmlformats.org/officeDocument/2006/relationships/hyperlink" Target="mailto:teri.klein@stanford.edu" TargetMode="External"/><Relationship Id="rId38" Type="http://schemas.openxmlformats.org/officeDocument/2006/relationships/hyperlink" Target="https://pilotguidelines.atlassian.net/wiki/display/GW/Guideline+Development+Process" TargetMode="External"/><Relationship Id="rId2" Type="http://schemas.openxmlformats.org/officeDocument/2006/relationships/styles" Target="styles.xml"/><Relationship Id="rId16" Type="http://schemas.openxmlformats.org/officeDocument/2006/relationships/hyperlink" Target="http://www.fda.gov/Drugs/ScienceResearch/ResearchAreas/Pharmacogenetics/ucm083378.htm" TargetMode="External"/><Relationship Id="rId20" Type="http://schemas.openxmlformats.org/officeDocument/2006/relationships/image" Target="media/image4.png"/><Relationship Id="rId29" Type="http://schemas.openxmlformats.org/officeDocument/2006/relationships/hyperlink" Target="https://cpicpgx.org/authorship-on-cpic-guidel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icpgx.org/prioritization/" TargetMode="External"/><Relationship Id="rId24" Type="http://schemas.openxmlformats.org/officeDocument/2006/relationships/hyperlink" Target="mailto:mary.relling@stjude.org" TargetMode="External"/><Relationship Id="rId32" Type="http://schemas.openxmlformats.org/officeDocument/2006/relationships/hyperlink" Target="mailto:mary.relling@stjude.org" TargetMode="External"/><Relationship Id="rId37" Type="http://schemas.openxmlformats.org/officeDocument/2006/relationships/hyperlink" Target="mailto:rubinstw@ncbi.nlm.nih.gov"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uidelines.gov/" TargetMode="External"/><Relationship Id="rId23" Type="http://schemas.openxmlformats.org/officeDocument/2006/relationships/hyperlink" Target="https://www.pharmgkb.org/page/pgxGeneRef" TargetMode="External"/><Relationship Id="rId28" Type="http://schemas.openxmlformats.org/officeDocument/2006/relationships/hyperlink" Target="mailto:cpic@cpicpgx.org" TargetMode="External"/><Relationship Id="rId36" Type="http://schemas.openxmlformats.org/officeDocument/2006/relationships/hyperlink" Target="mailto:adriana.malheiro@nih.gov" TargetMode="External"/><Relationship Id="rId10" Type="http://schemas.openxmlformats.org/officeDocument/2006/relationships/hyperlink" Target="https://cpicpgx.org/authorship-on-cpic-guidelines/" TargetMode="External"/><Relationship Id="rId19" Type="http://schemas.openxmlformats.org/officeDocument/2006/relationships/image" Target="media/image3.png"/><Relationship Id="rId31"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s://cpicpgx.org" TargetMode="External"/><Relationship Id="rId14" Type="http://schemas.openxmlformats.org/officeDocument/2006/relationships/hyperlink" Target="http://www.pharmgkb.org/pmid/18253145" TargetMode="External"/><Relationship Id="rId22" Type="http://schemas.openxmlformats.org/officeDocument/2006/relationships/hyperlink" Target="http://www.allelefrequencies.net" TargetMode="External"/><Relationship Id="rId27" Type="http://schemas.openxmlformats.org/officeDocument/2006/relationships/hyperlink" Target="mailto:rubinstw@ncbi.nlm.nih.gov" TargetMode="External"/><Relationship Id="rId30" Type="http://schemas.openxmlformats.org/officeDocument/2006/relationships/hyperlink" Target="https://cpicpgx.org/genes-drugs/" TargetMode="External"/><Relationship Id="rId35" Type="http://schemas.openxmlformats.org/officeDocument/2006/relationships/hyperlink" Target="mailto:chkelly@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40</Pages>
  <Words>9471</Words>
  <Characters>53985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Thorn</dc:creator>
  <cp:lastModifiedBy>Caudle, Kelly</cp:lastModifiedBy>
  <cp:revision>9</cp:revision>
  <cp:lastPrinted>2013-02-20T21:00:00Z</cp:lastPrinted>
  <dcterms:created xsi:type="dcterms:W3CDTF">2019-07-03T19:52:00Z</dcterms:created>
  <dcterms:modified xsi:type="dcterms:W3CDTF">2019-07-08T20:57:00Z</dcterms:modified>
</cp:coreProperties>
</file>