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39754085"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238E5">
        <w:rPr>
          <w:rFonts w:ascii="Times New Roman" w:hAnsi="Times New Roman"/>
          <w:sz w:val="24"/>
          <w:szCs w:val="24"/>
        </w:rPr>
        <w:t>October 3</w:t>
      </w:r>
      <w:r w:rsidR="00D246DE">
        <w:rPr>
          <w:rFonts w:ascii="Times New Roman" w:hAnsi="Times New Roman"/>
          <w:sz w:val="24"/>
          <w:szCs w:val="24"/>
        </w:rPr>
        <w:t>,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0F4665" w:rsidRDefault="00D92FAD" w:rsidP="006E5188">
            <w:pPr>
              <w:widowControl/>
              <w:rPr>
                <w:rFonts w:ascii="Times New Roman" w:hAnsi="Times New Roman"/>
                <w:sz w:val="24"/>
                <w:szCs w:val="24"/>
              </w:rPr>
            </w:pPr>
            <w:r w:rsidRPr="000F4665">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0F4665" w:rsidRDefault="00D92FAD" w:rsidP="00D92FAD">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971948" w:rsidRPr="000F4665"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1892A01" w:rsidR="00971948" w:rsidRPr="000F4665" w:rsidRDefault="001238E5" w:rsidP="00240352">
            <w:pPr>
              <w:widowControl/>
              <w:rPr>
                <w:rFonts w:ascii="Times New Roman" w:hAnsi="Times New Roman"/>
                <w:sz w:val="24"/>
                <w:szCs w:val="24"/>
              </w:rPr>
            </w:pPr>
            <w:r w:rsidRPr="000F4665">
              <w:rPr>
                <w:rFonts w:ascii="Times New Roman" w:hAnsi="Times New Roman"/>
                <w:sz w:val="24"/>
                <w:szCs w:val="24"/>
              </w:rPr>
              <w:t>CPIC update</w:t>
            </w:r>
            <w:r w:rsidR="00C90B4E" w:rsidRPr="000F4665">
              <w:rPr>
                <w:rFonts w:ascii="Times New Roman" w:hAnsi="Times New Roman"/>
                <w:sz w:val="24"/>
                <w:szCs w:val="24"/>
              </w:rPr>
              <w:t xml:space="preserve"> </w:t>
            </w:r>
          </w:p>
        </w:tc>
        <w:tc>
          <w:tcPr>
            <w:tcW w:w="7462" w:type="dxa"/>
            <w:tcBorders>
              <w:top w:val="single" w:sz="6" w:space="0" w:color="000000"/>
              <w:left w:val="single" w:sz="6" w:space="0" w:color="000000"/>
              <w:bottom w:val="single" w:sz="6" w:space="0" w:color="000000"/>
              <w:right w:val="single" w:sz="6" w:space="0" w:color="000000"/>
            </w:tcBorders>
          </w:tcPr>
          <w:p w14:paraId="601D8E0B" w14:textId="553F305E" w:rsidR="0046522B" w:rsidRPr="000F4665" w:rsidRDefault="0046522B" w:rsidP="002A14FB">
            <w:pPr>
              <w:widowControl/>
              <w:rPr>
                <w:rFonts w:ascii="Times New Roman" w:hAnsi="Times New Roman"/>
                <w:sz w:val="24"/>
                <w:szCs w:val="24"/>
              </w:rPr>
            </w:pPr>
            <w:r w:rsidRPr="000F4665">
              <w:rPr>
                <w:rFonts w:ascii="Times New Roman" w:hAnsi="Times New Roman"/>
                <w:sz w:val="24"/>
                <w:szCs w:val="24"/>
              </w:rPr>
              <w:t>Kelly presented an overview of CPIC accomplishments over the past year</w:t>
            </w:r>
            <w:r w:rsidR="00AE13F6" w:rsidRPr="000F4665">
              <w:rPr>
                <w:rFonts w:ascii="Times New Roman" w:hAnsi="Times New Roman"/>
                <w:sz w:val="24"/>
                <w:szCs w:val="24"/>
              </w:rPr>
              <w:t xml:space="preserve"> (slides attached with minutes). </w:t>
            </w:r>
          </w:p>
          <w:p w14:paraId="32D8381D" w14:textId="1965593F"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Guideline updates in progress:</w:t>
            </w:r>
          </w:p>
          <w:p w14:paraId="6D790774" w14:textId="7EDE5A58" w:rsidR="00C96143" w:rsidRPr="000F4665" w:rsidRDefault="00C96143"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CYP2C9/HLA/</w:t>
            </w:r>
            <w:r w:rsidRPr="000F4665">
              <w:rPr>
                <w:rFonts w:ascii="Times New Roman" w:hAnsi="Times New Roman"/>
                <w:sz w:val="24"/>
                <w:szCs w:val="24"/>
              </w:rPr>
              <w:t xml:space="preserve">phenytoin: </w:t>
            </w:r>
            <w:r w:rsidR="00E8243D" w:rsidRPr="000F4665">
              <w:rPr>
                <w:rFonts w:ascii="Times New Roman" w:hAnsi="Times New Roman"/>
                <w:sz w:val="24"/>
                <w:szCs w:val="24"/>
              </w:rPr>
              <w:t>Drafting recommendation</w:t>
            </w:r>
          </w:p>
          <w:p w14:paraId="7F281FD9" w14:textId="3428E0B4" w:rsidR="00E8243D" w:rsidRPr="000F4665" w:rsidRDefault="00E8243D"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CYP2D6</w:t>
            </w:r>
            <w:r w:rsidRPr="000F4665">
              <w:rPr>
                <w:rFonts w:ascii="Times New Roman" w:hAnsi="Times New Roman"/>
                <w:sz w:val="24"/>
                <w:szCs w:val="24"/>
              </w:rPr>
              <w:t>/</w:t>
            </w:r>
            <w:r w:rsidR="007F0332" w:rsidRPr="000F4665">
              <w:rPr>
                <w:rFonts w:ascii="Times New Roman" w:hAnsi="Times New Roman"/>
                <w:sz w:val="24"/>
                <w:szCs w:val="24"/>
              </w:rPr>
              <w:t>opioid</w:t>
            </w:r>
            <w:r w:rsidRPr="000F4665">
              <w:rPr>
                <w:rFonts w:ascii="Times New Roman" w:hAnsi="Times New Roman"/>
                <w:sz w:val="24"/>
                <w:szCs w:val="24"/>
              </w:rPr>
              <w:t xml:space="preserve">: </w:t>
            </w:r>
            <w:r w:rsidR="00381682" w:rsidRPr="000F4665">
              <w:rPr>
                <w:rFonts w:ascii="Times New Roman" w:hAnsi="Times New Roman"/>
                <w:sz w:val="24"/>
                <w:szCs w:val="24"/>
              </w:rPr>
              <w:t xml:space="preserve">Drafting recommendation; </w:t>
            </w:r>
            <w:r w:rsidR="006E5E21" w:rsidRPr="000F4665">
              <w:rPr>
                <w:rFonts w:ascii="Times New Roman" w:hAnsi="Times New Roman"/>
                <w:sz w:val="24"/>
                <w:szCs w:val="24"/>
              </w:rPr>
              <w:t>evidence review underway</w:t>
            </w:r>
            <w:r w:rsidR="00381682" w:rsidRPr="000F4665">
              <w:rPr>
                <w:rFonts w:ascii="Times New Roman" w:hAnsi="Times New Roman"/>
                <w:sz w:val="24"/>
                <w:szCs w:val="24"/>
              </w:rPr>
              <w:t xml:space="preserve"> for OPRM1 and COMT</w:t>
            </w:r>
          </w:p>
          <w:p w14:paraId="4B51993D" w14:textId="4C011B77" w:rsidR="00D246DE" w:rsidRPr="000F4665" w:rsidRDefault="00D246DE"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CYP2C19/</w:t>
            </w:r>
            <w:r w:rsidRPr="000F4665">
              <w:rPr>
                <w:rFonts w:ascii="Times New Roman" w:hAnsi="Times New Roman"/>
                <w:sz w:val="24"/>
                <w:szCs w:val="24"/>
              </w:rPr>
              <w:t>clopidogrel</w:t>
            </w:r>
            <w:r w:rsidR="006832AE" w:rsidRPr="000F4665">
              <w:rPr>
                <w:rFonts w:ascii="Times New Roman" w:hAnsi="Times New Roman"/>
                <w:sz w:val="24"/>
                <w:szCs w:val="24"/>
              </w:rPr>
              <w:t xml:space="preserve">: </w:t>
            </w:r>
            <w:r w:rsidR="00381682" w:rsidRPr="000F4665">
              <w:rPr>
                <w:rFonts w:ascii="Times New Roman" w:hAnsi="Times New Roman"/>
                <w:sz w:val="24"/>
                <w:szCs w:val="24"/>
              </w:rPr>
              <w:t>Evidence review underway</w:t>
            </w:r>
          </w:p>
          <w:p w14:paraId="17D9847E" w14:textId="77777777"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 xml:space="preserve">New guidelines in progress: </w:t>
            </w:r>
          </w:p>
          <w:p w14:paraId="679F9EF0" w14:textId="1FA9DD6E" w:rsidR="00665358" w:rsidRPr="000F4665" w:rsidRDefault="009044D2" w:rsidP="00482BA5">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CYP2C19/</w:t>
            </w:r>
            <w:r w:rsidRPr="000F4665">
              <w:rPr>
                <w:rFonts w:ascii="Times New Roman" w:hAnsi="Times New Roman"/>
                <w:sz w:val="24"/>
                <w:szCs w:val="24"/>
              </w:rPr>
              <w:t>PPI</w:t>
            </w:r>
            <w:r w:rsidR="003F6D27" w:rsidRPr="000F4665">
              <w:rPr>
                <w:rFonts w:ascii="Times New Roman" w:hAnsi="Times New Roman"/>
                <w:sz w:val="24"/>
                <w:szCs w:val="24"/>
              </w:rPr>
              <w:t>s</w:t>
            </w:r>
            <w:r w:rsidRPr="000F4665">
              <w:rPr>
                <w:rFonts w:ascii="Times New Roman" w:hAnsi="Times New Roman"/>
                <w:sz w:val="24"/>
                <w:szCs w:val="24"/>
              </w:rPr>
              <w:t xml:space="preserve">: </w:t>
            </w:r>
            <w:r w:rsidR="006832AE" w:rsidRPr="000F4665">
              <w:rPr>
                <w:rFonts w:ascii="Times New Roman" w:hAnsi="Times New Roman"/>
                <w:sz w:val="24"/>
                <w:szCs w:val="24"/>
              </w:rPr>
              <w:t xml:space="preserve">Drafting </w:t>
            </w:r>
            <w:r w:rsidR="00AE13F6" w:rsidRPr="000F4665">
              <w:rPr>
                <w:rFonts w:ascii="Times New Roman" w:hAnsi="Times New Roman"/>
                <w:sz w:val="24"/>
                <w:szCs w:val="24"/>
              </w:rPr>
              <w:t>guideline</w:t>
            </w:r>
          </w:p>
          <w:p w14:paraId="5FDBF29C" w14:textId="7AC4CCF9" w:rsidR="00482BA5" w:rsidRPr="000F4665" w:rsidRDefault="00482BA5" w:rsidP="00C96143">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CYP2C9/</w:t>
            </w:r>
            <w:r w:rsidR="00F133E2" w:rsidRPr="000F4665">
              <w:rPr>
                <w:rFonts w:ascii="Times New Roman" w:hAnsi="Times New Roman"/>
                <w:sz w:val="24"/>
                <w:szCs w:val="24"/>
              </w:rPr>
              <w:t>NSAIDs</w:t>
            </w:r>
            <w:r w:rsidRPr="000F4665">
              <w:rPr>
                <w:rFonts w:ascii="Times New Roman" w:hAnsi="Times New Roman"/>
                <w:sz w:val="24"/>
                <w:szCs w:val="24"/>
              </w:rPr>
              <w:t xml:space="preserve">: </w:t>
            </w:r>
            <w:r w:rsidR="00AE13F6" w:rsidRPr="000F4665">
              <w:rPr>
                <w:rFonts w:ascii="Times New Roman" w:hAnsi="Times New Roman"/>
                <w:sz w:val="24"/>
                <w:szCs w:val="24"/>
              </w:rPr>
              <w:t>Kelly will send this out for CPIC member review soon</w:t>
            </w:r>
          </w:p>
          <w:p w14:paraId="09A45D9C" w14:textId="4D3D0E2B" w:rsidR="006832AE" w:rsidRPr="000F4665" w:rsidRDefault="006832AE" w:rsidP="006832AE">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mtRNR1</w:t>
            </w:r>
            <w:r w:rsidRPr="000F4665">
              <w:rPr>
                <w:rFonts w:ascii="Times New Roman" w:hAnsi="Times New Roman"/>
                <w:sz w:val="24"/>
                <w:szCs w:val="24"/>
              </w:rPr>
              <w:t>/aminoglycosides: authorship plan underway</w:t>
            </w:r>
            <w:r w:rsidR="00AE13F6" w:rsidRPr="000F4665">
              <w:rPr>
                <w:rFonts w:ascii="Times New Roman" w:hAnsi="Times New Roman"/>
                <w:sz w:val="24"/>
                <w:szCs w:val="24"/>
              </w:rPr>
              <w:t>; if you know of any experts on this topic, please email  Kelly (Kelly.caudle@stjude.org)</w:t>
            </w:r>
          </w:p>
        </w:tc>
        <w:tc>
          <w:tcPr>
            <w:tcW w:w="4132" w:type="dxa"/>
            <w:tcBorders>
              <w:top w:val="single" w:sz="6" w:space="0" w:color="000000"/>
              <w:left w:val="single" w:sz="6" w:space="0" w:color="000000"/>
              <w:bottom w:val="single" w:sz="6" w:space="0" w:color="000000"/>
              <w:right w:val="single" w:sz="6" w:space="0" w:color="000000"/>
            </w:tcBorders>
          </w:tcPr>
          <w:p w14:paraId="01A7DA87" w14:textId="1F411D21" w:rsidR="00971948" w:rsidRPr="000F4665"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Guideline preparation will </w:t>
            </w:r>
            <w:proofErr w:type="gramStart"/>
            <w:r w:rsidRPr="000F4665">
              <w:rPr>
                <w:rFonts w:ascii="Times New Roman" w:hAnsi="Times New Roman"/>
                <w:sz w:val="24"/>
                <w:szCs w:val="24"/>
              </w:rPr>
              <w:t>continue</w:t>
            </w:r>
            <w:proofErr w:type="gramEnd"/>
            <w:r w:rsidRPr="000F4665">
              <w:rPr>
                <w:rFonts w:ascii="Times New Roman" w:hAnsi="Times New Roman"/>
                <w:sz w:val="24"/>
                <w:szCs w:val="24"/>
              </w:rPr>
              <w:t xml:space="preserve"> and </w:t>
            </w:r>
            <w:r w:rsidR="00C90B4E" w:rsidRPr="000F4665">
              <w:rPr>
                <w:rFonts w:ascii="Times New Roman" w:hAnsi="Times New Roman"/>
                <w:sz w:val="24"/>
                <w:szCs w:val="24"/>
              </w:rPr>
              <w:t>Kelly will continue to follow-up.</w:t>
            </w:r>
            <w:r w:rsidR="00411457" w:rsidRPr="000F4665">
              <w:rPr>
                <w:rFonts w:ascii="Times New Roman" w:hAnsi="Times New Roman"/>
                <w:sz w:val="24"/>
                <w:szCs w:val="24"/>
              </w:rPr>
              <w:t xml:space="preserve"> </w:t>
            </w:r>
          </w:p>
        </w:tc>
      </w:tr>
      <w:tr w:rsidR="0029737D" w:rsidRPr="000F4665"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02E31866" w:rsidR="0029737D" w:rsidRPr="000F4665" w:rsidRDefault="00AE13F6" w:rsidP="0029737D">
            <w:pPr>
              <w:widowControl/>
              <w:rPr>
                <w:rFonts w:ascii="Times New Roman" w:hAnsi="Times New Roman"/>
                <w:sz w:val="24"/>
                <w:szCs w:val="24"/>
              </w:rPr>
            </w:pPr>
            <w:r w:rsidRPr="000F4665">
              <w:rPr>
                <w:rFonts w:ascii="Times New Roman" w:hAnsi="Times New Roman"/>
                <w:iCs/>
                <w:sz w:val="24"/>
                <w:szCs w:val="24"/>
              </w:rPr>
              <w:t>PGx insurance coverage decisions</w:t>
            </w:r>
          </w:p>
        </w:tc>
        <w:tc>
          <w:tcPr>
            <w:tcW w:w="7462" w:type="dxa"/>
            <w:tcBorders>
              <w:top w:val="single" w:sz="6" w:space="0" w:color="000000"/>
              <w:left w:val="single" w:sz="6" w:space="0" w:color="000000"/>
              <w:bottom w:val="single" w:sz="6" w:space="0" w:color="000000"/>
              <w:right w:val="single" w:sz="6" w:space="0" w:color="000000"/>
            </w:tcBorders>
          </w:tcPr>
          <w:p w14:paraId="2E17B1F5" w14:textId="6AF2FD22" w:rsidR="00AC6E79" w:rsidRPr="000F4665" w:rsidRDefault="00AE13F6" w:rsidP="007F0332">
            <w:pPr>
              <w:widowControl/>
              <w:rPr>
                <w:rFonts w:ascii="Times New Roman" w:hAnsi="Times New Roman"/>
                <w:sz w:val="24"/>
                <w:szCs w:val="24"/>
              </w:rPr>
            </w:pPr>
            <w:r w:rsidRPr="000F4665">
              <w:rPr>
                <w:rFonts w:ascii="Times New Roman" w:hAnsi="Times New Roman"/>
                <w:sz w:val="24"/>
                <w:szCs w:val="24"/>
              </w:rPr>
              <w:t xml:space="preserve">Mary gave an overview of the proposed local coverage (LCD) for pharmacogenomics on the </w:t>
            </w:r>
            <w:r w:rsidR="00BC683C" w:rsidRPr="000F4665">
              <w:rPr>
                <w:rFonts w:ascii="Times New Roman" w:hAnsi="Times New Roman"/>
                <w:sz w:val="24"/>
                <w:szCs w:val="24"/>
              </w:rPr>
              <w:t>M</w:t>
            </w:r>
            <w:r w:rsidRPr="000F4665">
              <w:rPr>
                <w:rFonts w:ascii="Times New Roman" w:hAnsi="Times New Roman"/>
                <w:sz w:val="24"/>
                <w:szCs w:val="24"/>
              </w:rPr>
              <w:t>edicare coverage database. It is posted now until November 21, 2019 for public review and comment. CPIC is planning to comment. If you would like to participate, email Kelly (</w:t>
            </w:r>
            <w:hyperlink r:id="rId7" w:history="1">
              <w:r w:rsidRPr="000F4665">
                <w:rPr>
                  <w:rStyle w:val="Hyperlink"/>
                  <w:rFonts w:ascii="Times New Roman" w:hAnsi="Times New Roman"/>
                  <w:sz w:val="24"/>
                  <w:szCs w:val="24"/>
                </w:rPr>
                <w:t>Kelly.caudle@sjtude.org</w:t>
              </w:r>
            </w:hyperlink>
            <w:r w:rsidRPr="000F4665">
              <w:rPr>
                <w:rFonts w:ascii="Times New Roman" w:hAnsi="Times New Roman"/>
                <w:sz w:val="24"/>
                <w:szCs w:val="24"/>
              </w:rPr>
              <w:t xml:space="preserve">). Mary also mentioned the United Healthcare Pharmacogenetic testing coverage (see slides attached with minutes).  </w:t>
            </w:r>
          </w:p>
        </w:tc>
        <w:tc>
          <w:tcPr>
            <w:tcW w:w="4132" w:type="dxa"/>
            <w:tcBorders>
              <w:top w:val="single" w:sz="6" w:space="0" w:color="000000"/>
              <w:left w:val="single" w:sz="6" w:space="0" w:color="000000"/>
              <w:bottom w:val="single" w:sz="6" w:space="0" w:color="000000"/>
              <w:right w:val="single" w:sz="6" w:space="0" w:color="000000"/>
            </w:tcBorders>
          </w:tcPr>
          <w:p w14:paraId="5E12D034" w14:textId="74611BE1" w:rsidR="0029737D" w:rsidRPr="000F4665" w:rsidRDefault="00AE13F6" w:rsidP="0029737D">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Mary</w:t>
            </w:r>
            <w:r w:rsidR="00AC6E79" w:rsidRPr="000F4665">
              <w:rPr>
                <w:rFonts w:ascii="Times New Roman" w:hAnsi="Times New Roman"/>
                <w:sz w:val="24"/>
                <w:szCs w:val="24"/>
              </w:rPr>
              <w:t xml:space="preserve"> will continue to update.</w:t>
            </w:r>
            <w:r w:rsidR="00294E8B" w:rsidRPr="000F4665">
              <w:rPr>
                <w:rFonts w:ascii="Times New Roman" w:hAnsi="Times New Roman"/>
                <w:sz w:val="24"/>
                <w:szCs w:val="24"/>
              </w:rPr>
              <w:t xml:space="preserve"> </w:t>
            </w:r>
          </w:p>
        </w:tc>
      </w:tr>
      <w:tr w:rsidR="00527BCE" w:rsidRPr="000F4665" w14:paraId="37A4B20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EDD02A8" w14:textId="6D2B6B76" w:rsidR="00527BCE" w:rsidRPr="000F4665" w:rsidRDefault="00EE37AF" w:rsidP="0029737D">
            <w:pPr>
              <w:widowControl/>
              <w:rPr>
                <w:rFonts w:ascii="Times New Roman" w:hAnsi="Times New Roman"/>
                <w:iCs/>
                <w:sz w:val="24"/>
                <w:szCs w:val="24"/>
              </w:rPr>
            </w:pPr>
            <w:r w:rsidRPr="000F4665">
              <w:rPr>
                <w:rFonts w:ascii="Times New Roman" w:hAnsi="Times New Roman"/>
                <w:iCs/>
                <w:sz w:val="24"/>
                <w:szCs w:val="24"/>
              </w:rPr>
              <w:t>US PGx testing/FDA environment</w:t>
            </w:r>
          </w:p>
        </w:tc>
        <w:tc>
          <w:tcPr>
            <w:tcW w:w="7462" w:type="dxa"/>
            <w:tcBorders>
              <w:top w:val="single" w:sz="6" w:space="0" w:color="000000"/>
              <w:left w:val="single" w:sz="6" w:space="0" w:color="000000"/>
              <w:bottom w:val="single" w:sz="6" w:space="0" w:color="000000"/>
              <w:right w:val="single" w:sz="6" w:space="0" w:color="000000"/>
            </w:tcBorders>
          </w:tcPr>
          <w:p w14:paraId="7FBBD4A6" w14:textId="10A069F6" w:rsidR="00527BCE" w:rsidRPr="00C34DF4" w:rsidRDefault="00EE37AF" w:rsidP="007F0332">
            <w:pPr>
              <w:widowControl/>
              <w:rPr>
                <w:rFonts w:ascii="Times New Roman" w:hAnsi="Times New Roman"/>
                <w:sz w:val="24"/>
                <w:szCs w:val="24"/>
                <w:highlight w:val="yellow"/>
              </w:rPr>
            </w:pPr>
            <w:r w:rsidRPr="00C34DF4">
              <w:rPr>
                <w:rFonts w:ascii="Times New Roman" w:hAnsi="Times New Roman"/>
                <w:sz w:val="24"/>
                <w:szCs w:val="24"/>
              </w:rPr>
              <w:t>Mary reviewed ongoing initiatives regarding the FDA and PGx testing including AMP</w:t>
            </w:r>
            <w:r w:rsidR="00BC683C" w:rsidRPr="00C34DF4">
              <w:rPr>
                <w:rFonts w:ascii="Times New Roman" w:hAnsi="Times New Roman"/>
                <w:sz w:val="24"/>
                <w:szCs w:val="24"/>
              </w:rPr>
              <w:t>’s</w:t>
            </w:r>
            <w:r w:rsidRPr="00C34DF4">
              <w:rPr>
                <w:rFonts w:ascii="Times New Roman" w:hAnsi="Times New Roman"/>
                <w:sz w:val="24"/>
                <w:szCs w:val="24"/>
              </w:rPr>
              <w:t xml:space="preserve"> position statement (</w:t>
            </w:r>
            <w:hyperlink r:id="rId8" w:history="1">
              <w:r w:rsidRPr="00C34DF4">
                <w:rPr>
                  <w:rStyle w:val="Hyperlink"/>
                  <w:rFonts w:ascii="Times New Roman" w:hAnsi="Times New Roman"/>
                  <w:sz w:val="24"/>
                  <w:szCs w:val="24"/>
                  <w:lang w:val="fr-FR"/>
                </w:rPr>
                <w:t>https://www.amp.org/AMP/assets/File/position-statements/2019/Best_Practices_for_PGx_9_4_2019.pdf?pass=98</w:t>
              </w:r>
            </w:hyperlink>
            <w:r w:rsidR="00664E7A" w:rsidRPr="00C34DF4">
              <w:rPr>
                <w:rFonts w:ascii="Times New Roman" w:hAnsi="Times New Roman"/>
                <w:sz w:val="24"/>
                <w:szCs w:val="24"/>
              </w:rPr>
              <w:t>), the American Clinical Laboratory Association’s (ACLA) letter to the FDA (</w:t>
            </w:r>
            <w:hyperlink r:id="rId9" w:history="1">
              <w:r w:rsidR="00664E7A" w:rsidRPr="00C34DF4">
                <w:rPr>
                  <w:rStyle w:val="Hyperlink"/>
                  <w:rFonts w:ascii="Times New Roman" w:hAnsi="Times New Roman"/>
                  <w:sz w:val="24"/>
                  <w:szCs w:val="24"/>
                </w:rPr>
                <w:t>https://www.acla.com/wp-content/uploads/2019/09/ACLA-Letter-to-FDA-re_-PGx-Test-Policy-Sept-18-2019.pdf</w:t>
              </w:r>
            </w:hyperlink>
            <w:r w:rsidR="00664E7A" w:rsidRPr="00C34DF4">
              <w:rPr>
                <w:rFonts w:ascii="Times New Roman" w:hAnsi="Times New Roman"/>
                <w:sz w:val="24"/>
                <w:szCs w:val="24"/>
              </w:rPr>
              <w:t xml:space="preserve">), the Personalized Medicine </w:t>
            </w:r>
            <w:r w:rsidR="00664E7A" w:rsidRPr="00C34DF4">
              <w:rPr>
                <w:rFonts w:ascii="Times New Roman" w:hAnsi="Times New Roman"/>
                <w:sz w:val="24"/>
                <w:szCs w:val="24"/>
              </w:rPr>
              <w:lastRenderedPageBreak/>
              <w:t>Coalition</w:t>
            </w:r>
            <w:r w:rsidR="001A798D" w:rsidRPr="00C34DF4">
              <w:rPr>
                <w:rFonts w:ascii="Times New Roman" w:hAnsi="Times New Roman"/>
                <w:sz w:val="24"/>
                <w:szCs w:val="24"/>
              </w:rPr>
              <w:t>, the possibility of pursuing</w:t>
            </w:r>
            <w:r w:rsidR="00664E7A" w:rsidRPr="00C34DF4">
              <w:rPr>
                <w:rFonts w:ascii="Times New Roman" w:hAnsi="Times New Roman"/>
                <w:sz w:val="24"/>
                <w:szCs w:val="24"/>
              </w:rPr>
              <w:t xml:space="preserve"> to pursue a </w:t>
            </w:r>
            <w:r w:rsidR="00BC683C" w:rsidRPr="00C34DF4">
              <w:rPr>
                <w:rFonts w:ascii="Times New Roman" w:hAnsi="Times New Roman"/>
                <w:sz w:val="24"/>
                <w:szCs w:val="24"/>
              </w:rPr>
              <w:t>Collaborative</w:t>
            </w:r>
            <w:r w:rsidR="00664E7A" w:rsidRPr="00C34DF4">
              <w:rPr>
                <w:rFonts w:ascii="Times New Roman" w:hAnsi="Times New Roman"/>
                <w:sz w:val="24"/>
                <w:szCs w:val="24"/>
              </w:rPr>
              <w:t xml:space="preserve"> Community with the FDA (</w:t>
            </w:r>
            <w:hyperlink r:id="rId10" w:history="1">
              <w:r w:rsidR="00664E7A" w:rsidRPr="00C34DF4">
                <w:rPr>
                  <w:rStyle w:val="Hyperlink"/>
                  <w:rFonts w:ascii="Times New Roman" w:hAnsi="Times New Roman"/>
                  <w:sz w:val="24"/>
                  <w:szCs w:val="24"/>
                </w:rPr>
                <w:t>https://www.fda.gov/about-fda/cdrh-strategic-priorities-and-updates/collaborative-communities-addressing-healthcare-challenges-together</w:t>
              </w:r>
            </w:hyperlink>
            <w:r w:rsidR="00664E7A" w:rsidRPr="00C34DF4">
              <w:rPr>
                <w:rFonts w:ascii="Times New Roman" w:hAnsi="Times New Roman"/>
                <w:sz w:val="24"/>
                <w:szCs w:val="24"/>
              </w:rPr>
              <w:t xml:space="preserve">), the FDA’s new guidance document on Clinical Decision Support Software, and the STRIPE (standardizing laboratory practices for pharmacogenomics) initiative. She also discussed CPIC’s and </w:t>
            </w:r>
            <w:bookmarkStart w:id="0" w:name="_GoBack"/>
            <w:bookmarkEnd w:id="0"/>
            <w:r w:rsidR="00664E7A" w:rsidRPr="00C34DF4">
              <w:rPr>
                <w:rFonts w:ascii="Times New Roman" w:hAnsi="Times New Roman"/>
                <w:sz w:val="24"/>
                <w:szCs w:val="24"/>
              </w:rPr>
              <w:t xml:space="preserve">PharmGKB’s discussions with the FDA regarding </w:t>
            </w:r>
            <w:r w:rsidR="001A798D" w:rsidRPr="00C34DF4">
              <w:rPr>
                <w:rFonts w:ascii="Times New Roman" w:hAnsi="Times New Roman"/>
                <w:sz w:val="24"/>
                <w:szCs w:val="24"/>
              </w:rPr>
              <w:t xml:space="preserve">possible </w:t>
            </w:r>
            <w:r w:rsidR="00664E7A" w:rsidRPr="00C34DF4">
              <w:rPr>
                <w:rFonts w:ascii="Times New Roman" w:hAnsi="Times New Roman"/>
                <w:sz w:val="24"/>
                <w:szCs w:val="24"/>
              </w:rPr>
              <w:t xml:space="preserve">FDA </w:t>
            </w:r>
            <w:r w:rsidR="00BC683C" w:rsidRPr="00C34DF4">
              <w:rPr>
                <w:rFonts w:ascii="Times New Roman" w:hAnsi="Times New Roman"/>
                <w:sz w:val="24"/>
                <w:szCs w:val="24"/>
              </w:rPr>
              <w:t>recogni</w:t>
            </w:r>
            <w:r w:rsidR="001A798D" w:rsidRPr="00C34DF4">
              <w:rPr>
                <w:rFonts w:ascii="Times New Roman" w:hAnsi="Times New Roman"/>
                <w:sz w:val="24"/>
                <w:szCs w:val="24"/>
              </w:rPr>
              <w:t xml:space="preserve">tion. </w:t>
            </w:r>
          </w:p>
        </w:tc>
        <w:tc>
          <w:tcPr>
            <w:tcW w:w="4132" w:type="dxa"/>
            <w:tcBorders>
              <w:top w:val="single" w:sz="6" w:space="0" w:color="000000"/>
              <w:left w:val="single" w:sz="6" w:space="0" w:color="000000"/>
              <w:bottom w:val="single" w:sz="6" w:space="0" w:color="000000"/>
              <w:right w:val="single" w:sz="6" w:space="0" w:color="000000"/>
            </w:tcBorders>
          </w:tcPr>
          <w:p w14:paraId="63D9DA9D" w14:textId="37A66280" w:rsidR="00527BCE" w:rsidRPr="00C34DF4" w:rsidRDefault="00664E7A" w:rsidP="0029737D">
            <w:pPr>
              <w:pStyle w:val="ListParagraph"/>
              <w:widowControl/>
              <w:tabs>
                <w:tab w:val="left" w:pos="526"/>
                <w:tab w:val="left" w:pos="1102"/>
                <w:tab w:val="left" w:pos="1627"/>
                <w:tab w:val="left" w:pos="2152"/>
              </w:tabs>
              <w:ind w:left="0"/>
              <w:rPr>
                <w:rFonts w:ascii="Times New Roman" w:hAnsi="Times New Roman"/>
                <w:sz w:val="24"/>
                <w:szCs w:val="24"/>
                <w:highlight w:val="yellow"/>
              </w:rPr>
            </w:pPr>
            <w:r w:rsidRPr="00C34DF4">
              <w:rPr>
                <w:rFonts w:ascii="Times New Roman" w:hAnsi="Times New Roman"/>
                <w:sz w:val="24"/>
                <w:szCs w:val="24"/>
              </w:rPr>
              <w:lastRenderedPageBreak/>
              <w:t>Mary</w:t>
            </w:r>
            <w:r w:rsidR="00527BCE" w:rsidRPr="00C34DF4">
              <w:rPr>
                <w:rFonts w:ascii="Times New Roman" w:hAnsi="Times New Roman"/>
                <w:sz w:val="24"/>
                <w:szCs w:val="24"/>
              </w:rPr>
              <w:t xml:space="preserve"> will continue to update</w:t>
            </w:r>
            <w:r w:rsidR="00C34DF4" w:rsidRPr="00C34DF4">
              <w:rPr>
                <w:rFonts w:ascii="Times New Roman" w:hAnsi="Times New Roman"/>
                <w:sz w:val="24"/>
                <w:szCs w:val="24"/>
              </w:rPr>
              <w:t>. Matt Rutledge</w:t>
            </w:r>
            <w:r w:rsidR="00837743" w:rsidRPr="00C34DF4">
              <w:rPr>
                <w:rFonts w:ascii="Times New Roman" w:hAnsi="Times New Roman"/>
                <w:sz w:val="24"/>
                <w:szCs w:val="24"/>
              </w:rPr>
              <w:t xml:space="preserve"> volunteered to lead looking into an FDA collaborative community for Pgx.</w:t>
            </w:r>
          </w:p>
        </w:tc>
      </w:tr>
      <w:tr w:rsidR="0046649B" w:rsidRPr="000F4665" w14:paraId="4F66493D"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B442B5A" w14:textId="725BB9D3" w:rsidR="0046649B" w:rsidRPr="000F4665" w:rsidRDefault="00664E7A" w:rsidP="0029737D">
            <w:pPr>
              <w:widowControl/>
              <w:rPr>
                <w:rFonts w:ascii="Times New Roman" w:hAnsi="Times New Roman"/>
                <w:iCs/>
                <w:sz w:val="24"/>
                <w:szCs w:val="24"/>
              </w:rPr>
            </w:pPr>
            <w:r w:rsidRPr="000F4665">
              <w:rPr>
                <w:rFonts w:ascii="Times New Roman" w:hAnsi="Times New Roman"/>
                <w:iCs/>
                <w:sz w:val="24"/>
                <w:szCs w:val="24"/>
              </w:rPr>
              <w:t>PGRN poster session at ASHG</w:t>
            </w:r>
          </w:p>
        </w:tc>
        <w:tc>
          <w:tcPr>
            <w:tcW w:w="7462" w:type="dxa"/>
            <w:tcBorders>
              <w:top w:val="single" w:sz="6" w:space="0" w:color="000000"/>
              <w:left w:val="single" w:sz="6" w:space="0" w:color="000000"/>
              <w:bottom w:val="single" w:sz="6" w:space="0" w:color="000000"/>
              <w:right w:val="single" w:sz="6" w:space="0" w:color="000000"/>
            </w:tcBorders>
          </w:tcPr>
          <w:p w14:paraId="01400ABE" w14:textId="6F5DCDB8" w:rsidR="0046649B" w:rsidRPr="000F4665" w:rsidRDefault="00664E7A" w:rsidP="007F0332">
            <w:pPr>
              <w:widowControl/>
              <w:rPr>
                <w:rFonts w:ascii="Times New Roman" w:hAnsi="Times New Roman"/>
                <w:sz w:val="24"/>
                <w:szCs w:val="24"/>
              </w:rPr>
            </w:pPr>
            <w:r w:rsidRPr="000F4665">
              <w:rPr>
                <w:rFonts w:ascii="Times New Roman" w:hAnsi="Times New Roman"/>
                <w:sz w:val="24"/>
                <w:szCs w:val="24"/>
              </w:rPr>
              <w:t xml:space="preserve">​The PGRN Poster Session &amp; Reception will be held on October 17th, 2019 during the 2019 ASHG Annual Meeting in Houston. To register, go to </w:t>
            </w:r>
            <w:hyperlink r:id="rId11" w:history="1">
              <w:r w:rsidRPr="000F4665">
                <w:rPr>
                  <w:rFonts w:ascii="Times New Roman" w:hAnsi="Times New Roman"/>
                  <w:color w:val="0000FF"/>
                  <w:sz w:val="24"/>
                  <w:szCs w:val="24"/>
                  <w:u w:val="single"/>
                </w:rPr>
                <w:t>https://www.pgrn.org/ashg-2019.html</w:t>
              </w:r>
            </w:hyperlink>
            <w:r w:rsidRPr="000F4665">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10E8D5FF" w14:textId="4033329D" w:rsidR="0046649B" w:rsidRPr="000F4665" w:rsidRDefault="00664E7A" w:rsidP="0029737D">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n/a</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8DB6" w14:textId="77777777" w:rsidR="006972F0" w:rsidRDefault="006972F0" w:rsidP="00E00679">
      <w:r>
        <w:separator/>
      </w:r>
    </w:p>
  </w:endnote>
  <w:endnote w:type="continuationSeparator" w:id="0">
    <w:p w14:paraId="20F683BA" w14:textId="77777777" w:rsidR="006972F0" w:rsidRDefault="006972F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530D" w14:textId="77777777" w:rsidR="006972F0" w:rsidRDefault="006972F0" w:rsidP="00E00679">
      <w:r>
        <w:separator/>
      </w:r>
    </w:p>
  </w:footnote>
  <w:footnote w:type="continuationSeparator" w:id="0">
    <w:p w14:paraId="7A32A2A3" w14:textId="77777777" w:rsidR="006972F0" w:rsidRDefault="006972F0"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53C52"/>
    <w:rsid w:val="000638D7"/>
    <w:rsid w:val="00065B74"/>
    <w:rsid w:val="00065D20"/>
    <w:rsid w:val="00066ED0"/>
    <w:rsid w:val="00067F07"/>
    <w:rsid w:val="00071849"/>
    <w:rsid w:val="00071A99"/>
    <w:rsid w:val="00072975"/>
    <w:rsid w:val="00072991"/>
    <w:rsid w:val="00083FFE"/>
    <w:rsid w:val="00087473"/>
    <w:rsid w:val="0009054A"/>
    <w:rsid w:val="00096544"/>
    <w:rsid w:val="00097667"/>
    <w:rsid w:val="00097EB1"/>
    <w:rsid w:val="000A4E1A"/>
    <w:rsid w:val="000A52D2"/>
    <w:rsid w:val="000A58CD"/>
    <w:rsid w:val="000B0B3B"/>
    <w:rsid w:val="000B0DF9"/>
    <w:rsid w:val="000B290E"/>
    <w:rsid w:val="000B4363"/>
    <w:rsid w:val="000B5636"/>
    <w:rsid w:val="000B7098"/>
    <w:rsid w:val="000C0537"/>
    <w:rsid w:val="000C0F9E"/>
    <w:rsid w:val="000C42EF"/>
    <w:rsid w:val="000C499F"/>
    <w:rsid w:val="000D236B"/>
    <w:rsid w:val="000D27D4"/>
    <w:rsid w:val="000D50F5"/>
    <w:rsid w:val="000D538E"/>
    <w:rsid w:val="000E5F09"/>
    <w:rsid w:val="000E6969"/>
    <w:rsid w:val="000F0438"/>
    <w:rsid w:val="000F0E42"/>
    <w:rsid w:val="000F4665"/>
    <w:rsid w:val="000F4F38"/>
    <w:rsid w:val="000F60D5"/>
    <w:rsid w:val="000F79C5"/>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31E0"/>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EB9"/>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64CB"/>
    <w:rsid w:val="00537ACC"/>
    <w:rsid w:val="0054107D"/>
    <w:rsid w:val="0054450B"/>
    <w:rsid w:val="00550D54"/>
    <w:rsid w:val="00551CD8"/>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473"/>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62F8"/>
    <w:rsid w:val="006C6F38"/>
    <w:rsid w:val="006C749C"/>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23D3B"/>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371D"/>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332"/>
    <w:rsid w:val="007F05A0"/>
    <w:rsid w:val="007F0AEE"/>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37743"/>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5B0"/>
    <w:rsid w:val="0087264F"/>
    <w:rsid w:val="0087385A"/>
    <w:rsid w:val="00876B79"/>
    <w:rsid w:val="008776C5"/>
    <w:rsid w:val="00880B0B"/>
    <w:rsid w:val="008848C3"/>
    <w:rsid w:val="00885DE9"/>
    <w:rsid w:val="00887C96"/>
    <w:rsid w:val="00890B38"/>
    <w:rsid w:val="00890C0A"/>
    <w:rsid w:val="00890D18"/>
    <w:rsid w:val="00892855"/>
    <w:rsid w:val="008944C9"/>
    <w:rsid w:val="00896927"/>
    <w:rsid w:val="008A200A"/>
    <w:rsid w:val="008A24CD"/>
    <w:rsid w:val="008A2970"/>
    <w:rsid w:val="008A55A8"/>
    <w:rsid w:val="008B18D0"/>
    <w:rsid w:val="008B35E7"/>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3869"/>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3365"/>
    <w:rsid w:val="009D7EB6"/>
    <w:rsid w:val="009E06BA"/>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E09E8"/>
    <w:rsid w:val="00AE13F6"/>
    <w:rsid w:val="00AE4D0B"/>
    <w:rsid w:val="00AE5957"/>
    <w:rsid w:val="00AF20C2"/>
    <w:rsid w:val="00AF21C8"/>
    <w:rsid w:val="00AF65CA"/>
    <w:rsid w:val="00AF6B53"/>
    <w:rsid w:val="00AF7053"/>
    <w:rsid w:val="00B0022C"/>
    <w:rsid w:val="00B006A3"/>
    <w:rsid w:val="00B13E7A"/>
    <w:rsid w:val="00B14CB6"/>
    <w:rsid w:val="00B16912"/>
    <w:rsid w:val="00B16DEF"/>
    <w:rsid w:val="00B212AC"/>
    <w:rsid w:val="00B266CA"/>
    <w:rsid w:val="00B31A09"/>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34DF4"/>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52797"/>
    <w:rsid w:val="00D53A59"/>
    <w:rsid w:val="00D53AC1"/>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C2B3F"/>
    <w:rsid w:val="00EC5D33"/>
    <w:rsid w:val="00ED113F"/>
    <w:rsid w:val="00ED336A"/>
    <w:rsid w:val="00EE1099"/>
    <w:rsid w:val="00EE26C6"/>
    <w:rsid w:val="00EE2C72"/>
    <w:rsid w:val="00EE37AF"/>
    <w:rsid w:val="00EE5EDB"/>
    <w:rsid w:val="00EE7E2B"/>
    <w:rsid w:val="00EF1222"/>
    <w:rsid w:val="00EF1546"/>
    <w:rsid w:val="00EF42A6"/>
    <w:rsid w:val="00EF48DB"/>
    <w:rsid w:val="00F10042"/>
    <w:rsid w:val="00F10B02"/>
    <w:rsid w:val="00F133E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styleId="UnresolvedMention">
    <w:name w:val="Unresolved Mention"/>
    <w:basedOn w:val="DefaultParagraphFont"/>
    <w:uiPriority w:val="99"/>
    <w:semiHidden/>
    <w:unhideWhenUsed/>
    <w:rsid w:val="00AE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p.org/AMP/assets/File/position-statements/2019/Best_Practices_for_PGx_9_4_2019.pdf?pass=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ly.caudle@sjtud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grn.org/ashg-2019.html" TargetMode="External"/><Relationship Id="rId5" Type="http://schemas.openxmlformats.org/officeDocument/2006/relationships/footnotes" Target="footnotes.xml"/><Relationship Id="rId10" Type="http://schemas.openxmlformats.org/officeDocument/2006/relationships/hyperlink" Target="https://www.fda.gov/about-fda/cdrh-strategic-priorities-and-updates/collaborative-communities-addressing-healthcare-challenges-together" TargetMode="External"/><Relationship Id="rId4" Type="http://schemas.openxmlformats.org/officeDocument/2006/relationships/webSettings" Target="webSettings.xml"/><Relationship Id="rId9" Type="http://schemas.openxmlformats.org/officeDocument/2006/relationships/hyperlink" Target="https://www.acla.com/wp-content/uploads/2019/09/ACLA-Letter-to-FDA-re_-PGx-Test-Policy-Sept-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2019-10-08T15:11:00Z</dcterms:created>
  <dcterms:modified xsi:type="dcterms:W3CDTF">2019-10-08T15:11:00Z</dcterms:modified>
</cp:coreProperties>
</file>