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553BD2C8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8C4AE3">
        <w:rPr>
          <w:rFonts w:asciiTheme="majorHAnsi" w:hAnsiTheme="majorHAnsi"/>
          <w:szCs w:val="22"/>
        </w:rPr>
        <w:t>October 21, 2019</w:t>
      </w:r>
    </w:p>
    <w:p w14:paraId="4C8C5C6A" w14:textId="04FB3EBC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A0844" w:rsidRPr="0038475E">
        <w:rPr>
          <w:rFonts w:asciiTheme="majorHAnsi" w:hAnsiTheme="majorHAnsi"/>
          <w:szCs w:val="22"/>
        </w:rPr>
        <w:t>James Hoffman,</w:t>
      </w:r>
      <w:r w:rsidR="00A70FDE" w:rsidRPr="0038475E">
        <w:rPr>
          <w:rFonts w:asciiTheme="majorHAnsi" w:hAnsiTheme="majorHAnsi"/>
          <w:szCs w:val="22"/>
        </w:rPr>
        <w:t xml:space="preserve"> </w:t>
      </w:r>
      <w:r w:rsidR="00C86EBC" w:rsidRPr="00C86EBC">
        <w:rPr>
          <w:rFonts w:asciiTheme="majorHAnsi" w:hAnsiTheme="majorHAnsi"/>
          <w:szCs w:val="22"/>
        </w:rPr>
        <w:t xml:space="preserve">Kelly Caudle, Mary Relling, </w:t>
      </w:r>
      <w:r w:rsidR="00C86EBC">
        <w:rPr>
          <w:rFonts w:asciiTheme="majorHAnsi" w:hAnsiTheme="majorHAnsi"/>
          <w:szCs w:val="22"/>
        </w:rPr>
        <w:t xml:space="preserve">Darren Johnson, Keito Hoshitsuki, Li Gong, Marc Williams, </w:t>
      </w:r>
      <w:r w:rsidR="006A55C3">
        <w:rPr>
          <w:rFonts w:asciiTheme="majorHAnsi" w:hAnsiTheme="majorHAnsi"/>
          <w:szCs w:val="22"/>
        </w:rPr>
        <w:t xml:space="preserve">Valerie Baron, Michelle Whirl-Carillo, Katrin Sangkuhl, Ryan Whaley, Neil Miller, Nate Person, Nephi Walton, Valerie Baron, </w:t>
      </w:r>
      <w:r w:rsidR="0038475E">
        <w:rPr>
          <w:rFonts w:asciiTheme="majorHAnsi" w:hAnsiTheme="majorHAnsi"/>
          <w:szCs w:val="22"/>
        </w:rPr>
        <w:t xml:space="preserve">Troy Moore, </w:t>
      </w:r>
      <w:r w:rsidR="00DA4686">
        <w:rPr>
          <w:rFonts w:asciiTheme="majorHAnsi" w:hAnsiTheme="majorHAnsi"/>
          <w:szCs w:val="22"/>
        </w:rPr>
        <w:t xml:space="preserve">Rebecca Pulk, </w:t>
      </w:r>
      <w:r w:rsidR="002C2D82">
        <w:rPr>
          <w:rFonts w:asciiTheme="majorHAnsi" w:hAnsiTheme="majorHAnsi"/>
          <w:szCs w:val="22"/>
        </w:rPr>
        <w:t xml:space="preserve">Rachel Huddart, </w:t>
      </w:r>
      <w:r w:rsidR="00570A75" w:rsidRPr="00366CC2">
        <w:rPr>
          <w:rFonts w:asciiTheme="majorHAnsi" w:hAnsiTheme="majorHAnsi"/>
          <w:szCs w:val="22"/>
        </w:rPr>
        <w:t>Vojtech Huser</w:t>
      </w:r>
      <w:r w:rsidR="00570A75">
        <w:rPr>
          <w:rFonts w:asciiTheme="majorHAnsi" w:hAnsiTheme="majorHAnsi"/>
          <w:szCs w:val="22"/>
        </w:rPr>
        <w:t xml:space="preserve">, </w:t>
      </w:r>
      <w:r w:rsidR="006034A4">
        <w:rPr>
          <w:rFonts w:asciiTheme="majorHAnsi" w:hAnsiTheme="majorHAnsi"/>
          <w:szCs w:val="22"/>
        </w:rPr>
        <w:t>Adriana Malheiro,</w:t>
      </w:r>
      <w:r w:rsidR="00A15838">
        <w:rPr>
          <w:rFonts w:asciiTheme="majorHAnsi" w:hAnsiTheme="majorHAnsi"/>
          <w:szCs w:val="22"/>
        </w:rPr>
        <w:t xml:space="preserve"> Josh Peterson, Teri Klein, Jennifer Ford, Ruslan Dorfman,</w:t>
      </w:r>
      <w:r w:rsidR="006034A4">
        <w:rPr>
          <w:rFonts w:asciiTheme="majorHAnsi" w:hAnsiTheme="majorHAnsi"/>
          <w:szCs w:val="22"/>
        </w:rPr>
        <w:t xml:space="preserve"> </w:t>
      </w:r>
      <w:r w:rsidR="00A9770B">
        <w:rPr>
          <w:rFonts w:asciiTheme="majorHAnsi" w:hAnsiTheme="majorHAnsi"/>
          <w:szCs w:val="22"/>
        </w:rPr>
        <w:t xml:space="preserve">Jenny Nguyen (PharmD student), Elaina Audi (PharmD student), </w:t>
      </w:r>
      <w:r w:rsidR="00580BAF" w:rsidRPr="008C4AE3">
        <w:rPr>
          <w:rFonts w:asciiTheme="majorHAnsi" w:hAnsiTheme="majorHAnsi"/>
          <w:szCs w:val="22"/>
        </w:rPr>
        <w:t>R</w:t>
      </w:r>
      <w:r w:rsidR="00A70FDE" w:rsidRPr="008C4AE3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9180"/>
        <w:gridCol w:w="3090"/>
      </w:tblGrid>
      <w:tr w:rsidR="008B4FD5" w:rsidRPr="009F1C5D" w14:paraId="2E9F8CFB" w14:textId="77777777" w:rsidTr="009227B5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60DCC" w:rsidRPr="009F1C5D" w14:paraId="03054EDD" w14:textId="77777777" w:rsidTr="009227B5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625D" w14:textId="6390D6BC" w:rsidR="00260DCC" w:rsidRDefault="005E02AE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E8C5" w14:textId="117BC88D" w:rsidR="00BB66B1" w:rsidRDefault="0038475E" w:rsidP="0038475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provided an overview of the types of files that accompany CPIC guidelines</w:t>
            </w:r>
            <w:r w:rsidR="00751364">
              <w:rPr>
                <w:rFonts w:asciiTheme="majorHAnsi" w:hAnsiTheme="majorHAnsi"/>
                <w:szCs w:val="22"/>
              </w:rPr>
              <w:t xml:space="preserve"> </w:t>
            </w:r>
            <w:r w:rsidR="003B3FAE">
              <w:rPr>
                <w:rFonts w:asciiTheme="majorHAnsi" w:hAnsiTheme="majorHAnsi"/>
                <w:szCs w:val="22"/>
              </w:rPr>
              <w:t>that</w:t>
            </w:r>
            <w:r w:rsidR="00751364">
              <w:rPr>
                <w:rFonts w:asciiTheme="majorHAnsi" w:hAnsiTheme="majorHAnsi"/>
                <w:szCs w:val="22"/>
              </w:rPr>
              <w:t xml:space="preserve"> are being integrated into the database</w:t>
            </w:r>
            <w:r w:rsidR="005D48C0">
              <w:rPr>
                <w:rFonts w:asciiTheme="majorHAnsi" w:hAnsiTheme="majorHAnsi"/>
                <w:szCs w:val="22"/>
              </w:rPr>
              <w:t xml:space="preserve"> and the issues that have come up with these so far: </w:t>
            </w:r>
          </w:p>
          <w:p w14:paraId="34EAB4FC" w14:textId="77777777" w:rsidR="0038475E" w:rsidRDefault="0038475E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Allele definition files </w:t>
            </w:r>
          </w:p>
          <w:p w14:paraId="307F8F1D" w14:textId="77777777" w:rsidR="0038475E" w:rsidRDefault="0038475E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Allele function files</w:t>
            </w:r>
          </w:p>
          <w:p w14:paraId="191843AE" w14:textId="1EFA710F" w:rsidR="005D48C0" w:rsidRDefault="005D48C0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Table 1 (genotype to phenotype translation) </w:t>
            </w:r>
          </w:p>
          <w:p w14:paraId="7E5B958F" w14:textId="77777777" w:rsidR="005D48C0" w:rsidRDefault="005D48C0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Table 2 (phenotype to recommendation translation)</w:t>
            </w:r>
          </w:p>
          <w:p w14:paraId="0F7D18F9" w14:textId="77777777" w:rsidR="005D48C0" w:rsidRDefault="005D48C0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Diplotype to phenotype translation table  </w:t>
            </w:r>
          </w:p>
          <w:p w14:paraId="22423387" w14:textId="77777777" w:rsidR="00B16038" w:rsidRDefault="00B16038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Gene-based CDS text / flow charts</w:t>
            </w:r>
          </w:p>
          <w:p w14:paraId="0019E415" w14:textId="77777777" w:rsidR="00B16038" w:rsidRDefault="00B16038" w:rsidP="0038475E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Allele frequency files </w:t>
            </w:r>
          </w:p>
          <w:p w14:paraId="615E7184" w14:textId="77777777" w:rsidR="0038086A" w:rsidRDefault="0038086A" w:rsidP="0038086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Going back to the guideline authors to clarify issues that have come up</w:t>
            </w:r>
          </w:p>
          <w:p w14:paraId="2B8197E9" w14:textId="54C99367" w:rsidR="008B3AED" w:rsidRDefault="008B3AED" w:rsidP="0038086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account for recommendation</w:t>
            </w:r>
            <w:r w:rsidR="003B3FAE">
              <w:rPr>
                <w:rFonts w:asciiTheme="majorHAnsi" w:hAnsiTheme="majorHAnsi"/>
                <w:szCs w:val="22"/>
              </w:rPr>
              <w:t>s</w:t>
            </w:r>
            <w:r>
              <w:rPr>
                <w:rFonts w:asciiTheme="majorHAnsi" w:hAnsiTheme="majorHAnsi"/>
                <w:szCs w:val="22"/>
              </w:rPr>
              <w:t xml:space="preserve"> + considerations when individuals are querying the database – now discussing these types of issues on CPIC author calls </w:t>
            </w:r>
          </w:p>
          <w:p w14:paraId="5AB0BC20" w14:textId="57303A46" w:rsidR="00435975" w:rsidRPr="000E3115" w:rsidRDefault="00435975" w:rsidP="000E311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be scheduling 2-3 calls for all CPIC guideline authors to</w:t>
            </w:r>
            <w:r w:rsidR="00B17290">
              <w:rPr>
                <w:rFonts w:asciiTheme="majorHAnsi" w:hAnsiTheme="majorHAnsi"/>
                <w:szCs w:val="22"/>
              </w:rPr>
              <w:t xml:space="preserve"> keep everyone updated on changes </w:t>
            </w:r>
            <w:r>
              <w:rPr>
                <w:rFonts w:asciiTheme="majorHAnsi" w:hAnsiTheme="majorHAnsi"/>
                <w:szCs w:val="22"/>
              </w:rPr>
              <w:t>to table formats and</w:t>
            </w:r>
            <w:r w:rsidR="00B17290">
              <w:rPr>
                <w:rFonts w:asciiTheme="majorHAnsi" w:hAnsiTheme="majorHAnsi"/>
                <w:szCs w:val="22"/>
              </w:rPr>
              <w:t xml:space="preserve"> the</w:t>
            </w:r>
            <w:r>
              <w:rPr>
                <w:rFonts w:asciiTheme="majorHAnsi" w:hAnsiTheme="majorHAnsi"/>
                <w:szCs w:val="22"/>
              </w:rPr>
              <w:t xml:space="preserve"> allele function SOP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463" w14:textId="7363EE40" w:rsidR="00260DCC" w:rsidRPr="003D40FA" w:rsidRDefault="00760D70" w:rsidP="00A934E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James/Michelle/Ryan to keep the group updated on progress </w:t>
            </w:r>
          </w:p>
        </w:tc>
      </w:tr>
      <w:tr w:rsidR="00A21BCB" w:rsidRPr="009F1C5D" w14:paraId="3B208DD2" w14:textId="77777777" w:rsidTr="009227B5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200A" w14:textId="52E9379C" w:rsidR="00A21BCB" w:rsidRDefault="004A67A1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Term Standardization - Part 2</w:t>
            </w:r>
            <w:r w:rsidR="005E02AE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D3C" w14:textId="0EFB7FD3" w:rsidR="005E02AE" w:rsidRDefault="00594587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First term standardization project was completed in 2016 and published in 2017</w:t>
            </w:r>
          </w:p>
          <w:p w14:paraId="61637C2B" w14:textId="05907E87" w:rsidR="00594587" w:rsidRDefault="00594587" w:rsidP="0059458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Focused on allele function terms and phenotype terms for drug metabolizing enzymes, transporters and </w:t>
            </w:r>
            <w:r w:rsidRPr="009227B5">
              <w:rPr>
                <w:rFonts w:asciiTheme="majorHAnsi" w:hAnsiTheme="majorHAnsi"/>
                <w:i/>
                <w:szCs w:val="22"/>
              </w:rPr>
              <w:t>HLA</w:t>
            </w:r>
            <w:r>
              <w:rPr>
                <w:rFonts w:asciiTheme="majorHAnsi" w:hAnsiTheme="majorHAnsi"/>
                <w:szCs w:val="22"/>
              </w:rPr>
              <w:t xml:space="preserve"> alleles</w:t>
            </w:r>
          </w:p>
          <w:p w14:paraId="5428A983" w14:textId="4ECC280B" w:rsidR="003B3FAE" w:rsidRDefault="003B3FAE" w:rsidP="0059458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Could not reach consensus for certain genes (e.g., </w:t>
            </w:r>
            <w:r w:rsidRPr="003B3FAE">
              <w:rPr>
                <w:rFonts w:asciiTheme="majorHAnsi" w:hAnsiTheme="majorHAnsi"/>
                <w:i/>
                <w:szCs w:val="22"/>
              </w:rPr>
              <w:t>VKORC1</w:t>
            </w:r>
            <w:r>
              <w:rPr>
                <w:rFonts w:asciiTheme="majorHAnsi" w:hAnsiTheme="majorHAnsi"/>
                <w:szCs w:val="22"/>
              </w:rPr>
              <w:t>)</w:t>
            </w:r>
          </w:p>
          <w:p w14:paraId="574DAB2C" w14:textId="77777777" w:rsidR="005E02AE" w:rsidRDefault="000E38F7" w:rsidP="00EB6D3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Non-standardized genes with CPIC guidelines: </w:t>
            </w:r>
            <w:r w:rsidRPr="00654FE6">
              <w:rPr>
                <w:rFonts w:asciiTheme="majorHAnsi" w:hAnsiTheme="majorHAnsi"/>
                <w:i/>
                <w:szCs w:val="22"/>
              </w:rPr>
              <w:t>RYR1, CACNA1S, CFTR, G6PD, IFNL3, VKORC1</w:t>
            </w:r>
          </w:p>
          <w:p w14:paraId="4B3FF082" w14:textId="77777777" w:rsidR="000E38F7" w:rsidRDefault="00C97986" w:rsidP="00F746AF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put together a proposal for part 2 of the term standardization project</w:t>
            </w:r>
            <w:r w:rsidR="00F746AF">
              <w:rPr>
                <w:rFonts w:asciiTheme="majorHAnsi" w:hAnsiTheme="majorHAnsi"/>
                <w:szCs w:val="22"/>
              </w:rPr>
              <w:t xml:space="preserve">, which will follow a </w:t>
            </w:r>
            <w:r w:rsidR="003F5A22">
              <w:rPr>
                <w:rFonts w:asciiTheme="majorHAnsi" w:hAnsiTheme="majorHAnsi"/>
                <w:szCs w:val="22"/>
              </w:rPr>
              <w:t xml:space="preserve">modified </w:t>
            </w:r>
            <w:r w:rsidR="00F746AF">
              <w:rPr>
                <w:rFonts w:asciiTheme="majorHAnsi" w:hAnsiTheme="majorHAnsi"/>
                <w:szCs w:val="22"/>
              </w:rPr>
              <w:t xml:space="preserve">Delphi approach like part 1 did </w:t>
            </w:r>
          </w:p>
          <w:p w14:paraId="35D6C140" w14:textId="55F11420" w:rsidR="00A901E1" w:rsidRDefault="00A901E1" w:rsidP="00F746AF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Having clinicians</w:t>
            </w:r>
            <w:r w:rsidR="006934BA">
              <w:rPr>
                <w:rFonts w:asciiTheme="majorHAnsi" w:hAnsiTheme="majorHAnsi"/>
                <w:szCs w:val="22"/>
              </w:rPr>
              <w:t xml:space="preserve"> (physicians, clinical pharmacists) </w:t>
            </w:r>
            <w:r>
              <w:rPr>
                <w:rFonts w:asciiTheme="majorHAnsi" w:hAnsiTheme="majorHAnsi"/>
                <w:szCs w:val="22"/>
              </w:rPr>
              <w:t xml:space="preserve">involved </w:t>
            </w:r>
            <w:r w:rsidR="003B3FAE">
              <w:rPr>
                <w:rFonts w:asciiTheme="majorHAnsi" w:hAnsiTheme="majorHAnsi"/>
                <w:szCs w:val="22"/>
              </w:rPr>
              <w:t xml:space="preserve">in this project </w:t>
            </w:r>
            <w:r>
              <w:rPr>
                <w:rFonts w:asciiTheme="majorHAnsi" w:hAnsiTheme="majorHAnsi"/>
                <w:szCs w:val="22"/>
              </w:rPr>
              <w:t>who aren’t pharmacogenomic</w:t>
            </w:r>
            <w:r w:rsidR="00AF78F0">
              <w:rPr>
                <w:rFonts w:asciiTheme="majorHAnsi" w:hAnsiTheme="majorHAnsi"/>
                <w:szCs w:val="22"/>
              </w:rPr>
              <w:t>s</w:t>
            </w:r>
            <w:r>
              <w:rPr>
                <w:rFonts w:asciiTheme="majorHAnsi" w:hAnsiTheme="majorHAnsi"/>
                <w:szCs w:val="22"/>
              </w:rPr>
              <w:t xml:space="preserve"> experts would be useful </w:t>
            </w:r>
          </w:p>
          <w:p w14:paraId="426D22D6" w14:textId="4F43F788" w:rsidR="00F50084" w:rsidRPr="00F50084" w:rsidRDefault="00A901E1" w:rsidP="00F5008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make sure we include terms that are being used for non-pharmacogenomic variants (e.g., “likely pathogenic”)</w:t>
            </w:r>
            <w:r w:rsidR="00F943DE">
              <w:rPr>
                <w:rFonts w:asciiTheme="majorHAnsi" w:hAnsiTheme="majorHAnsi"/>
                <w:szCs w:val="22"/>
              </w:rPr>
              <w:t xml:space="preserve"> that other groups may be using (e.g., ClinGen, ClinVar) 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383E" w14:textId="197D2D4F" w:rsidR="00A21BCB" w:rsidRPr="003D40FA" w:rsidRDefault="00CF4DE5" w:rsidP="00CF4DE5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feedback on this project, please email</w:t>
            </w:r>
            <w:r w:rsidR="00C52A4B">
              <w:rPr>
                <w:rFonts w:asciiTheme="majorHAnsi" w:hAnsiTheme="majorHAnsi"/>
                <w:szCs w:val="22"/>
              </w:rPr>
              <w:t xml:space="preserve"> Kelly</w:t>
            </w:r>
            <w:r w:rsidR="009227B5">
              <w:rPr>
                <w:rFonts w:asciiTheme="majorHAnsi" w:hAnsiTheme="majorHAnsi"/>
                <w:szCs w:val="22"/>
              </w:rPr>
              <w:t xml:space="preserve"> (</w:t>
            </w:r>
            <w:hyperlink r:id="rId8" w:history="1">
              <w:r w:rsidR="009227B5" w:rsidRPr="00E672C1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9227B5"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4A67A1" w:rsidRPr="009F1C5D" w14:paraId="2B3A0457" w14:textId="77777777" w:rsidTr="009227B5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B8E8" w14:textId="0AC07DAF" w:rsidR="004A67A1" w:rsidRDefault="004A67A1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 Review Update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F82F" w14:textId="6D8E2C54" w:rsidR="00F50084" w:rsidRDefault="00F50084" w:rsidP="00F5008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 w:rsidRPr="00F50084">
              <w:rPr>
                <w:rFonts w:asciiTheme="majorHAnsi" w:hAnsiTheme="majorHAnsi"/>
                <w:i/>
                <w:szCs w:val="22"/>
              </w:rPr>
              <w:t>CYP2C9</w:t>
            </w:r>
            <w:r>
              <w:rPr>
                <w:rFonts w:asciiTheme="majorHAnsi" w:hAnsiTheme="majorHAnsi"/>
                <w:szCs w:val="22"/>
              </w:rPr>
              <w:t>/NSAID</w:t>
            </w:r>
            <w:r w:rsidR="00AB2CDA">
              <w:rPr>
                <w:rFonts w:asciiTheme="majorHAnsi" w:hAnsiTheme="majorHAnsi"/>
                <w:szCs w:val="22"/>
              </w:rPr>
              <w:t>s</w:t>
            </w:r>
            <w:r>
              <w:rPr>
                <w:rFonts w:asciiTheme="majorHAnsi" w:hAnsiTheme="majorHAnsi"/>
                <w:szCs w:val="22"/>
              </w:rPr>
              <w:t xml:space="preserve"> and </w:t>
            </w:r>
            <w:r w:rsidRPr="00F50084">
              <w:rPr>
                <w:rFonts w:asciiTheme="majorHAnsi" w:hAnsiTheme="majorHAnsi"/>
                <w:i/>
                <w:szCs w:val="22"/>
              </w:rPr>
              <w:t>CYP2C9</w:t>
            </w:r>
            <w:r>
              <w:rPr>
                <w:rFonts w:asciiTheme="majorHAnsi" w:hAnsiTheme="majorHAnsi"/>
                <w:szCs w:val="22"/>
              </w:rPr>
              <w:t>/phenytoin guidelines will be available for review soon</w:t>
            </w:r>
          </w:p>
          <w:p w14:paraId="5D4A71EC" w14:textId="4164A4CA" w:rsidR="00F50084" w:rsidRPr="00F50084" w:rsidRDefault="00F50084" w:rsidP="00F5008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is putting together a checklist of items to focus on from an informatics stand</w:t>
            </w:r>
            <w:bookmarkStart w:id="0" w:name="_GoBack"/>
            <w:bookmarkEnd w:id="0"/>
            <w:r>
              <w:rPr>
                <w:rFonts w:asciiTheme="majorHAnsi" w:hAnsiTheme="majorHAnsi"/>
                <w:szCs w:val="22"/>
              </w:rPr>
              <w:t xml:space="preserve">point when reviewing new CPIC guidelines 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5C2E" w14:textId="2423BD08" w:rsidR="004A67A1" w:rsidRPr="001100BC" w:rsidRDefault="00AB2CDA" w:rsidP="001100BC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All: Please r</w:t>
            </w:r>
            <w:r w:rsidR="001100BC">
              <w:rPr>
                <w:rFonts w:asciiTheme="majorHAnsi" w:hAnsiTheme="majorHAnsi"/>
                <w:szCs w:val="22"/>
              </w:rPr>
              <w:t>eview guidelines when they are sent out</w:t>
            </w:r>
          </w:p>
        </w:tc>
      </w:tr>
    </w:tbl>
    <w:p w14:paraId="3C1450D0" w14:textId="77777777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9576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4D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60D5"/>
    <w:rsid w:val="000F79C5"/>
    <w:rsid w:val="00107D53"/>
    <w:rsid w:val="001100B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A03D5"/>
    <w:rsid w:val="003A11EE"/>
    <w:rsid w:val="003A23E6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4C1"/>
    <w:rsid w:val="003E6106"/>
    <w:rsid w:val="003F0E85"/>
    <w:rsid w:val="003F2238"/>
    <w:rsid w:val="003F2E40"/>
    <w:rsid w:val="003F4102"/>
    <w:rsid w:val="003F5A22"/>
    <w:rsid w:val="003F641E"/>
    <w:rsid w:val="003F6F79"/>
    <w:rsid w:val="00402704"/>
    <w:rsid w:val="00402918"/>
    <w:rsid w:val="00403158"/>
    <w:rsid w:val="00403364"/>
    <w:rsid w:val="004037A8"/>
    <w:rsid w:val="00405BE7"/>
    <w:rsid w:val="00406939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57A"/>
    <w:rsid w:val="005D46E0"/>
    <w:rsid w:val="005D480C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4FE6"/>
    <w:rsid w:val="00656B88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3033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0E41"/>
    <w:rsid w:val="008E114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940"/>
    <w:rsid w:val="00A25BC3"/>
    <w:rsid w:val="00A25CA6"/>
    <w:rsid w:val="00A27AAE"/>
    <w:rsid w:val="00A30FD5"/>
    <w:rsid w:val="00A326FF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61DF"/>
    <w:rsid w:val="00AF65CA"/>
    <w:rsid w:val="00AF6B53"/>
    <w:rsid w:val="00AF78F0"/>
    <w:rsid w:val="00B0022C"/>
    <w:rsid w:val="00B13CD5"/>
    <w:rsid w:val="00B1428B"/>
    <w:rsid w:val="00B145CF"/>
    <w:rsid w:val="00B14CB6"/>
    <w:rsid w:val="00B16038"/>
    <w:rsid w:val="00B16912"/>
    <w:rsid w:val="00B16DEF"/>
    <w:rsid w:val="00B17290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7072"/>
    <w:rsid w:val="00B91359"/>
    <w:rsid w:val="00B936A5"/>
    <w:rsid w:val="00B94E13"/>
    <w:rsid w:val="00B96C08"/>
    <w:rsid w:val="00BA069B"/>
    <w:rsid w:val="00BA29F1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86EBC"/>
    <w:rsid w:val="00C90AEB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6DD3"/>
    <w:rsid w:val="00EA76CF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2E43"/>
    <w:rsid w:val="00F53BAE"/>
    <w:rsid w:val="00F53BCB"/>
    <w:rsid w:val="00F545BB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72D8"/>
    <w:rsid w:val="00F9196D"/>
    <w:rsid w:val="00F93BAA"/>
    <w:rsid w:val="00F93BEC"/>
    <w:rsid w:val="00F943DE"/>
    <w:rsid w:val="00FA0D75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FC46-210C-4EDD-AD8A-636560FF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387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56</cp:revision>
  <cp:lastPrinted>2014-02-17T17:58:00Z</cp:lastPrinted>
  <dcterms:created xsi:type="dcterms:W3CDTF">2019-10-21T19:32:00Z</dcterms:created>
  <dcterms:modified xsi:type="dcterms:W3CDTF">2019-10-22T14:38:00Z</dcterms:modified>
</cp:coreProperties>
</file>