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48112E91"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A3BE5">
        <w:rPr>
          <w:rFonts w:ascii="Times New Roman" w:hAnsi="Times New Roman"/>
          <w:sz w:val="24"/>
          <w:szCs w:val="24"/>
        </w:rPr>
        <w:t>November 5</w:t>
      </w:r>
      <w:r w:rsidR="008F6CA5">
        <w:rPr>
          <w:rFonts w:ascii="Times New Roman" w:hAnsi="Times New Roman"/>
          <w:sz w:val="24"/>
          <w:szCs w:val="24"/>
        </w:rPr>
        <w:t xml:space="preserve">, </w:t>
      </w:r>
      <w:r w:rsidR="00B84163">
        <w:rPr>
          <w:rFonts w:ascii="Times New Roman" w:hAnsi="Times New Roman"/>
          <w:sz w:val="24"/>
          <w:szCs w:val="24"/>
        </w:rPr>
        <w:t>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C1701E" w:rsidRPr="000F4665" w14:paraId="260DA83F"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878ACD1" w14:textId="74FC393F" w:rsidR="00C1701E" w:rsidRDefault="00C1701E" w:rsidP="006E5188">
            <w:pPr>
              <w:widowControl/>
              <w:rPr>
                <w:rFonts w:ascii="Times New Roman" w:hAnsi="Times New Roman"/>
                <w:sz w:val="24"/>
                <w:szCs w:val="24"/>
              </w:rPr>
            </w:pPr>
            <w:r>
              <w:rPr>
                <w:rFonts w:ascii="Times New Roman" w:hAnsi="Times New Roman"/>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788ABBFE" w14:textId="73CDA15B" w:rsidR="00C1701E" w:rsidRPr="000F4665" w:rsidRDefault="00631E24" w:rsidP="00466230">
            <w:pPr>
              <w:widowControl/>
              <w:rPr>
                <w:rFonts w:ascii="Times New Roman" w:hAnsi="Times New Roman"/>
                <w:sz w:val="24"/>
                <w:szCs w:val="24"/>
              </w:rPr>
            </w:pPr>
            <w:r>
              <w:rPr>
                <w:rFonts w:ascii="Times New Roman" w:hAnsi="Times New Roman"/>
                <w:sz w:val="24"/>
                <w:szCs w:val="24"/>
              </w:rPr>
              <w:t xml:space="preserve">CPIC Meeting will be postponed </w:t>
            </w:r>
            <w:r w:rsidR="00C1701E">
              <w:rPr>
                <w:rFonts w:ascii="Times New Roman" w:hAnsi="Times New Roman"/>
                <w:sz w:val="24"/>
                <w:szCs w:val="24"/>
              </w:rPr>
              <w:t>until 2022</w:t>
            </w:r>
            <w:r w:rsidR="00CA4AE8">
              <w:rPr>
                <w:rFonts w:ascii="Times New Roman" w:hAnsi="Times New Roman"/>
                <w:sz w:val="24"/>
                <w:szCs w:val="24"/>
              </w:rPr>
              <w:t xml:space="preserve"> due to COVID</w:t>
            </w:r>
            <w:r>
              <w:rPr>
                <w:rFonts w:ascii="Times New Roman" w:hAnsi="Times New Roman"/>
                <w:sz w:val="24"/>
                <w:szCs w:val="24"/>
              </w:rPr>
              <w:t xml:space="preserve">-19 with the </w:t>
            </w:r>
            <w:r w:rsidR="00466230">
              <w:rPr>
                <w:rFonts w:ascii="Times New Roman" w:hAnsi="Times New Roman"/>
                <w:sz w:val="24"/>
                <w:szCs w:val="24"/>
              </w:rPr>
              <w:t>goal of</w:t>
            </w:r>
            <w:r>
              <w:rPr>
                <w:rFonts w:ascii="Times New Roman" w:hAnsi="Times New Roman"/>
                <w:sz w:val="24"/>
                <w:szCs w:val="24"/>
              </w:rPr>
              <w:t xml:space="preserve"> offering an in-person meeting at that time</w:t>
            </w:r>
            <w:r w:rsidR="00CA4AE8">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D5AF8F4" w14:textId="1DCA2B19" w:rsidR="00C1701E" w:rsidRPr="000F4665" w:rsidRDefault="00CA4AE8" w:rsidP="007A61E2">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 up with specific dates.</w:t>
            </w:r>
          </w:p>
        </w:tc>
      </w:tr>
      <w:tr w:rsidR="006A1DCB" w:rsidRPr="000F4665" w14:paraId="4ECA165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04C82E3" w14:textId="75A97807" w:rsidR="006A1DCB" w:rsidRDefault="001A3BE5" w:rsidP="006E5188">
            <w:pPr>
              <w:widowControl/>
              <w:rPr>
                <w:rFonts w:ascii="Times New Roman" w:hAnsi="Times New Roman"/>
                <w:sz w:val="24"/>
                <w:szCs w:val="24"/>
              </w:rPr>
            </w:pPr>
            <w:r>
              <w:rPr>
                <w:rFonts w:ascii="Times New Roman" w:hAnsi="Times New Roman"/>
                <w:sz w:val="24"/>
                <w:szCs w:val="24"/>
              </w:rPr>
              <w:t>CPIC 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54E8922D" w14:textId="148B275A" w:rsidR="006A1DCB" w:rsidRDefault="00CA4AE8" w:rsidP="00BC4BD1">
            <w:pPr>
              <w:widowControl/>
              <w:rPr>
                <w:rFonts w:ascii="Times New Roman" w:hAnsi="Times New Roman"/>
                <w:sz w:val="24"/>
              </w:rPr>
            </w:pPr>
            <w:r w:rsidRPr="00CA4AE8">
              <w:rPr>
                <w:rFonts w:ascii="Times New Roman" w:hAnsi="Times New Roman"/>
                <w:i/>
                <w:sz w:val="24"/>
              </w:rPr>
              <w:t>CYP2C19</w:t>
            </w:r>
            <w:r>
              <w:rPr>
                <w:rFonts w:ascii="Times New Roman" w:hAnsi="Times New Roman"/>
                <w:sz w:val="24"/>
              </w:rPr>
              <w:t>/clopidogrel</w:t>
            </w:r>
            <w:r w:rsidR="00631E24">
              <w:rPr>
                <w:rFonts w:ascii="Times New Roman" w:hAnsi="Times New Roman"/>
                <w:sz w:val="24"/>
              </w:rPr>
              <w:t xml:space="preserve"> </w:t>
            </w:r>
            <w:r>
              <w:rPr>
                <w:rFonts w:ascii="Times New Roman" w:hAnsi="Times New Roman"/>
                <w:sz w:val="24"/>
              </w:rPr>
              <w:t xml:space="preserve">– </w:t>
            </w:r>
            <w:r w:rsidR="00631E24">
              <w:rPr>
                <w:rFonts w:ascii="Times New Roman" w:hAnsi="Times New Roman"/>
                <w:sz w:val="24"/>
              </w:rPr>
              <w:t>in</w:t>
            </w:r>
            <w:r>
              <w:rPr>
                <w:rFonts w:ascii="Times New Roman" w:hAnsi="Times New Roman"/>
                <w:sz w:val="24"/>
              </w:rPr>
              <w:t xml:space="preserve"> evidence review</w:t>
            </w:r>
            <w:r w:rsidR="00631E24">
              <w:rPr>
                <w:rFonts w:ascii="Times New Roman" w:hAnsi="Times New Roman"/>
                <w:sz w:val="24"/>
              </w:rPr>
              <w:t xml:space="preserve"> </w:t>
            </w:r>
          </w:p>
          <w:p w14:paraId="6317A6AA" w14:textId="701FEB34" w:rsidR="00CA4AE8" w:rsidRDefault="00CA4AE8" w:rsidP="00BC4BD1">
            <w:pPr>
              <w:widowControl/>
              <w:rPr>
                <w:rFonts w:ascii="Times New Roman" w:hAnsi="Times New Roman"/>
                <w:sz w:val="24"/>
              </w:rPr>
            </w:pPr>
            <w:r w:rsidRPr="00CA4AE8">
              <w:rPr>
                <w:rFonts w:ascii="Times New Roman" w:hAnsi="Times New Roman"/>
                <w:i/>
                <w:sz w:val="24"/>
              </w:rPr>
              <w:t>CYP2D6</w:t>
            </w:r>
            <w:r>
              <w:rPr>
                <w:rFonts w:ascii="Times New Roman" w:hAnsi="Times New Roman"/>
                <w:sz w:val="24"/>
              </w:rPr>
              <w:t>/opioids</w:t>
            </w:r>
            <w:r w:rsidR="00AB4CFC">
              <w:rPr>
                <w:rFonts w:ascii="Times New Roman" w:hAnsi="Times New Roman"/>
                <w:sz w:val="24"/>
              </w:rPr>
              <w:t xml:space="preserve"> </w:t>
            </w:r>
            <w:r>
              <w:rPr>
                <w:rFonts w:ascii="Times New Roman" w:hAnsi="Times New Roman"/>
                <w:sz w:val="24"/>
              </w:rPr>
              <w:t xml:space="preserve">– </w:t>
            </w:r>
            <w:r w:rsidR="00631E24">
              <w:rPr>
                <w:rFonts w:ascii="Times New Roman" w:hAnsi="Times New Roman"/>
                <w:sz w:val="24"/>
              </w:rPr>
              <w:t>submitted, waiting on reviewer comments</w:t>
            </w:r>
          </w:p>
          <w:p w14:paraId="0E928173" w14:textId="4B839A00" w:rsidR="00CA4AE8" w:rsidRDefault="00CA4AE8" w:rsidP="00BC4BD1">
            <w:pPr>
              <w:widowControl/>
              <w:rPr>
                <w:rFonts w:ascii="Times New Roman" w:hAnsi="Times New Roman"/>
                <w:sz w:val="24"/>
              </w:rPr>
            </w:pPr>
            <w:r w:rsidRPr="00CA4AE8">
              <w:rPr>
                <w:rFonts w:ascii="Times New Roman" w:hAnsi="Times New Roman"/>
                <w:i/>
                <w:sz w:val="24"/>
              </w:rPr>
              <w:t>SLCO1B1</w:t>
            </w:r>
            <w:r>
              <w:rPr>
                <w:rFonts w:ascii="Times New Roman" w:hAnsi="Times New Roman"/>
                <w:sz w:val="24"/>
              </w:rPr>
              <w:t xml:space="preserve">/simvastatin – in evidence review (includes additional genes) </w:t>
            </w:r>
          </w:p>
          <w:p w14:paraId="7DA3ADB1" w14:textId="1AF0A841" w:rsidR="00CA4AE8" w:rsidRDefault="00CA4AE8" w:rsidP="00BC4BD1">
            <w:pPr>
              <w:widowControl/>
              <w:rPr>
                <w:rFonts w:ascii="Times New Roman" w:hAnsi="Times New Roman"/>
                <w:sz w:val="24"/>
              </w:rPr>
            </w:pPr>
            <w:r w:rsidRPr="00CA4AE8">
              <w:rPr>
                <w:rFonts w:ascii="Times New Roman" w:hAnsi="Times New Roman"/>
                <w:i/>
                <w:sz w:val="24"/>
              </w:rPr>
              <w:t>G6PD</w:t>
            </w:r>
            <w:r>
              <w:rPr>
                <w:rFonts w:ascii="Times New Roman" w:hAnsi="Times New Roman"/>
                <w:sz w:val="24"/>
              </w:rPr>
              <w:t>/rasburicase</w:t>
            </w:r>
            <w:r w:rsidR="00AB4CFC">
              <w:rPr>
                <w:rFonts w:ascii="Times New Roman" w:hAnsi="Times New Roman"/>
                <w:sz w:val="24"/>
              </w:rPr>
              <w:t xml:space="preserve"> </w:t>
            </w:r>
            <w:r>
              <w:rPr>
                <w:rFonts w:ascii="Times New Roman" w:hAnsi="Times New Roman"/>
                <w:sz w:val="24"/>
              </w:rPr>
              <w:t>– in evidence review (includes additional drugs)</w:t>
            </w:r>
          </w:p>
          <w:p w14:paraId="01877115" w14:textId="0E083117" w:rsidR="00CA4AE8" w:rsidRDefault="00CA4AE8" w:rsidP="00BC4BD1">
            <w:pPr>
              <w:widowControl/>
              <w:rPr>
                <w:rFonts w:ascii="Times New Roman" w:hAnsi="Times New Roman"/>
                <w:sz w:val="24"/>
              </w:rPr>
            </w:pPr>
            <w:proofErr w:type="gramStart"/>
            <w:r w:rsidRPr="00631E24">
              <w:rPr>
                <w:rFonts w:ascii="Times New Roman" w:hAnsi="Times New Roman"/>
                <w:sz w:val="24"/>
              </w:rPr>
              <w:t>SSRI,SNRI</w:t>
            </w:r>
            <w:proofErr w:type="gramEnd"/>
            <w:r>
              <w:rPr>
                <w:rFonts w:ascii="Times New Roman" w:hAnsi="Times New Roman"/>
                <w:sz w:val="24"/>
              </w:rPr>
              <w:t xml:space="preserve"> guideline – in </w:t>
            </w:r>
            <w:r w:rsidR="00631E24">
              <w:rPr>
                <w:rFonts w:ascii="Times New Roman" w:hAnsi="Times New Roman"/>
                <w:sz w:val="24"/>
              </w:rPr>
              <w:t>early stages (includes</w:t>
            </w:r>
            <w:r>
              <w:rPr>
                <w:rFonts w:ascii="Times New Roman" w:hAnsi="Times New Roman"/>
                <w:sz w:val="24"/>
              </w:rPr>
              <w:t xml:space="preserve"> more </w:t>
            </w:r>
            <w:r w:rsidR="00631E24">
              <w:rPr>
                <w:rFonts w:ascii="Times New Roman" w:hAnsi="Times New Roman"/>
                <w:sz w:val="24"/>
              </w:rPr>
              <w:t>genes and drugs</w:t>
            </w:r>
            <w:r>
              <w:rPr>
                <w:rFonts w:ascii="Times New Roman" w:hAnsi="Times New Roman"/>
                <w:sz w:val="24"/>
              </w:rPr>
              <w:t xml:space="preserve">) </w:t>
            </w:r>
          </w:p>
          <w:p w14:paraId="524625DD" w14:textId="6A0DA4D9" w:rsidR="00CA4AE8" w:rsidRPr="00BC4BD1" w:rsidRDefault="00CA4AE8" w:rsidP="00BC4BD1">
            <w:pPr>
              <w:widowControl/>
              <w:rPr>
                <w:rFonts w:ascii="Times New Roman" w:hAnsi="Times New Roman"/>
                <w:sz w:val="24"/>
              </w:rPr>
            </w:pPr>
            <w:r w:rsidRPr="00CA4AE8">
              <w:rPr>
                <w:rFonts w:ascii="Times New Roman" w:hAnsi="Times New Roman"/>
                <w:i/>
                <w:sz w:val="24"/>
              </w:rPr>
              <w:t>mtRNR1</w:t>
            </w:r>
            <w:r>
              <w:rPr>
                <w:rFonts w:ascii="Times New Roman" w:hAnsi="Times New Roman"/>
                <w:sz w:val="24"/>
              </w:rPr>
              <w:t>/aminoglycosides – writing guideline</w:t>
            </w:r>
          </w:p>
        </w:tc>
        <w:tc>
          <w:tcPr>
            <w:tcW w:w="4132" w:type="dxa"/>
            <w:tcBorders>
              <w:top w:val="single" w:sz="6" w:space="0" w:color="000000"/>
              <w:left w:val="single" w:sz="6" w:space="0" w:color="000000"/>
              <w:bottom w:val="single" w:sz="6" w:space="0" w:color="000000"/>
              <w:right w:val="single" w:sz="6" w:space="0" w:color="000000"/>
            </w:tcBorders>
          </w:tcPr>
          <w:p w14:paraId="35326492" w14:textId="77777777" w:rsidR="007F5469" w:rsidRDefault="007F5469" w:rsidP="000627D0">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See updates:</w:t>
            </w:r>
          </w:p>
          <w:p w14:paraId="68278299" w14:textId="10E6312C" w:rsidR="006A1DCB" w:rsidRPr="000F4665" w:rsidRDefault="00D12A94" w:rsidP="000627D0">
            <w:pPr>
              <w:pStyle w:val="ListParagraph"/>
              <w:widowControl/>
              <w:tabs>
                <w:tab w:val="left" w:pos="526"/>
                <w:tab w:val="left" w:pos="1102"/>
                <w:tab w:val="left" w:pos="1627"/>
                <w:tab w:val="left" w:pos="2152"/>
              </w:tabs>
              <w:ind w:left="0"/>
              <w:rPr>
                <w:rFonts w:ascii="Times New Roman" w:hAnsi="Times New Roman"/>
                <w:sz w:val="24"/>
                <w:szCs w:val="24"/>
              </w:rPr>
            </w:pPr>
            <w:hyperlink r:id="rId8" w:history="1">
              <w:r w:rsidR="007F5469" w:rsidRPr="007F5469">
                <w:rPr>
                  <w:rStyle w:val="Hyperlink"/>
                  <w:rFonts w:ascii="Times New Roman" w:hAnsi="Times New Roman"/>
                  <w:sz w:val="24"/>
                  <w:szCs w:val="24"/>
                </w:rPr>
                <w:t>https://cpicpgx.org/prioritization-of-cpic-guidelines/</w:t>
              </w:r>
            </w:hyperlink>
            <w:r w:rsidR="007F5469">
              <w:rPr>
                <w:rFonts w:ascii="Times New Roman" w:hAnsi="Times New Roman"/>
                <w:sz w:val="24"/>
                <w:szCs w:val="24"/>
              </w:rPr>
              <w:t xml:space="preserve"> </w:t>
            </w:r>
          </w:p>
        </w:tc>
      </w:tr>
      <w:tr w:rsidR="003462BC" w:rsidRPr="000F4665" w14:paraId="063255C5"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CA9237" w14:textId="6015CDF6" w:rsidR="003462BC" w:rsidRPr="008F6CA5" w:rsidRDefault="008F6CA5" w:rsidP="006E5188">
            <w:pPr>
              <w:widowControl/>
              <w:rPr>
                <w:rFonts w:ascii="Times New Roman" w:hAnsi="Times New Roman"/>
                <w:sz w:val="24"/>
                <w:szCs w:val="24"/>
              </w:rPr>
            </w:pPr>
            <w:r>
              <w:rPr>
                <w:rFonts w:ascii="Times New Roman" w:hAnsi="Times New Roman"/>
                <w:sz w:val="24"/>
                <w:szCs w:val="24"/>
              </w:rPr>
              <w:t>CPIC database/API</w:t>
            </w:r>
          </w:p>
        </w:tc>
        <w:tc>
          <w:tcPr>
            <w:tcW w:w="7462" w:type="dxa"/>
            <w:tcBorders>
              <w:top w:val="single" w:sz="6" w:space="0" w:color="000000"/>
              <w:left w:val="single" w:sz="6" w:space="0" w:color="000000"/>
              <w:bottom w:val="single" w:sz="6" w:space="0" w:color="000000"/>
              <w:right w:val="single" w:sz="6" w:space="0" w:color="000000"/>
            </w:tcBorders>
          </w:tcPr>
          <w:p w14:paraId="5257F802" w14:textId="5194F116" w:rsidR="00160EFA" w:rsidRPr="00160EFA" w:rsidRDefault="00160EFA" w:rsidP="00742591">
            <w:pPr>
              <w:rPr>
                <w:rFonts w:ascii="Times New Roman" w:hAnsi="Times New Roman"/>
                <w:sz w:val="24"/>
                <w:szCs w:val="24"/>
              </w:rPr>
            </w:pPr>
            <w:r>
              <w:rPr>
                <w:rFonts w:ascii="Times New Roman" w:hAnsi="Times New Roman"/>
                <w:sz w:val="24"/>
                <w:szCs w:val="24"/>
              </w:rPr>
              <w:t xml:space="preserve">After several rounds of testing, the first release of the database/API is now available. </w:t>
            </w:r>
            <w:r w:rsidR="00742591">
              <w:rPr>
                <w:rFonts w:ascii="Times New Roman" w:hAnsi="Times New Roman"/>
                <w:sz w:val="24"/>
                <w:szCs w:val="24"/>
              </w:rPr>
              <w:t>See the</w:t>
            </w:r>
            <w:r>
              <w:rPr>
                <w:rFonts w:ascii="Times New Roman" w:hAnsi="Times New Roman"/>
                <w:sz w:val="24"/>
                <w:szCs w:val="24"/>
              </w:rPr>
              <w:t xml:space="preserve"> “Resources” page of the CPIC website </w:t>
            </w:r>
            <w:r w:rsidR="00742591">
              <w:rPr>
                <w:rFonts w:ascii="Times New Roman" w:hAnsi="Times New Roman"/>
                <w:sz w:val="24"/>
                <w:szCs w:val="24"/>
              </w:rPr>
              <w:t xml:space="preserve">for the link </w:t>
            </w:r>
            <w:r>
              <w:rPr>
                <w:rFonts w:ascii="Times New Roman" w:hAnsi="Times New Roman"/>
                <w:sz w:val="24"/>
                <w:szCs w:val="24"/>
              </w:rPr>
              <w:t>(</w:t>
            </w:r>
            <w:hyperlink r:id="rId9" w:history="1">
              <w:r w:rsidRPr="00A670C5">
                <w:rPr>
                  <w:rStyle w:val="Hyperlink"/>
                  <w:rFonts w:ascii="Times New Roman" w:hAnsi="Times New Roman"/>
                  <w:sz w:val="24"/>
                  <w:szCs w:val="24"/>
                </w:rPr>
                <w:t>https://cpicpgx.org/resources/</w:t>
              </w:r>
            </w:hyperlink>
            <w:r>
              <w:rPr>
                <w:rFonts w:ascii="Times New Roman" w:hAnsi="Times New Roman"/>
                <w:sz w:val="24"/>
                <w:szCs w:val="24"/>
              </w:rPr>
              <w:t xml:space="preserve">). </w:t>
            </w:r>
            <w:r w:rsidR="007F5469">
              <w:rPr>
                <w:rFonts w:ascii="Times New Roman" w:hAnsi="Times New Roman"/>
                <w:sz w:val="24"/>
                <w:szCs w:val="24"/>
              </w:rPr>
              <w:t xml:space="preserve">Special thanks to </w:t>
            </w:r>
            <w:r>
              <w:rPr>
                <w:rFonts w:ascii="Times New Roman" w:hAnsi="Times New Roman"/>
                <w:sz w:val="24"/>
                <w:szCs w:val="24"/>
              </w:rPr>
              <w:t>Ryan</w:t>
            </w:r>
            <w:r w:rsidR="00742591">
              <w:rPr>
                <w:rFonts w:ascii="Times New Roman" w:hAnsi="Times New Roman"/>
                <w:sz w:val="24"/>
                <w:szCs w:val="24"/>
              </w:rPr>
              <w:t xml:space="preserve"> Whaley</w:t>
            </w:r>
            <w:r w:rsidR="000F498F">
              <w:rPr>
                <w:rFonts w:ascii="Times New Roman" w:hAnsi="Times New Roman"/>
                <w:sz w:val="24"/>
                <w:szCs w:val="24"/>
              </w:rPr>
              <w:t xml:space="preserve">, the team at </w:t>
            </w:r>
            <w:r w:rsidR="007F5469">
              <w:rPr>
                <w:rFonts w:ascii="Times New Roman" w:hAnsi="Times New Roman"/>
                <w:sz w:val="24"/>
                <w:szCs w:val="24"/>
              </w:rPr>
              <w:t>Stanford,</w:t>
            </w:r>
            <w:r w:rsidR="007F5469" w:rsidDel="007F5469">
              <w:rPr>
                <w:rFonts w:ascii="Times New Roman" w:hAnsi="Times New Roman"/>
                <w:sz w:val="24"/>
                <w:szCs w:val="24"/>
              </w:rPr>
              <w:t xml:space="preserve"> </w:t>
            </w:r>
            <w:r w:rsidR="000F498F">
              <w:rPr>
                <w:rFonts w:ascii="Times New Roman" w:hAnsi="Times New Roman"/>
                <w:sz w:val="24"/>
                <w:szCs w:val="24"/>
              </w:rPr>
              <w:t>guideline authors, a</w:t>
            </w:r>
            <w:r>
              <w:rPr>
                <w:rFonts w:ascii="Times New Roman" w:hAnsi="Times New Roman"/>
                <w:sz w:val="24"/>
                <w:szCs w:val="24"/>
              </w:rPr>
              <w:t>nd all the beta testers for making this possible!</w:t>
            </w:r>
          </w:p>
        </w:tc>
        <w:tc>
          <w:tcPr>
            <w:tcW w:w="4132" w:type="dxa"/>
            <w:tcBorders>
              <w:top w:val="single" w:sz="6" w:space="0" w:color="000000"/>
              <w:left w:val="single" w:sz="6" w:space="0" w:color="000000"/>
              <w:bottom w:val="single" w:sz="6" w:space="0" w:color="000000"/>
              <w:right w:val="single" w:sz="6" w:space="0" w:color="000000"/>
            </w:tcBorders>
          </w:tcPr>
          <w:p w14:paraId="13D24F21" w14:textId="1FA52CF1" w:rsidR="003462BC" w:rsidRDefault="00160EFA" w:rsidP="00354925">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Contact </w:t>
            </w:r>
            <w:hyperlink r:id="rId10" w:history="1">
              <w:r w:rsidRPr="00A670C5">
                <w:rPr>
                  <w:rStyle w:val="Hyperlink"/>
                  <w:rFonts w:ascii="Times New Roman" w:hAnsi="Times New Roman"/>
                  <w:sz w:val="24"/>
                  <w:szCs w:val="24"/>
                </w:rPr>
                <w:t>cpic@cpicpgx.org</w:t>
              </w:r>
            </w:hyperlink>
            <w:r>
              <w:rPr>
                <w:rFonts w:ascii="Times New Roman" w:hAnsi="Times New Roman"/>
                <w:sz w:val="24"/>
                <w:szCs w:val="24"/>
              </w:rPr>
              <w:t xml:space="preserve"> with any questions or comments about the database/API.</w:t>
            </w:r>
          </w:p>
        </w:tc>
      </w:tr>
      <w:tr w:rsidR="001A3BE5" w:rsidRPr="000F4665" w14:paraId="7F250B12" w14:textId="77777777" w:rsidTr="00112086">
        <w:trPr>
          <w:trHeight w:val="480"/>
        </w:trPr>
        <w:tc>
          <w:tcPr>
            <w:tcW w:w="2880" w:type="dxa"/>
            <w:tcBorders>
              <w:top w:val="single" w:sz="6" w:space="0" w:color="000000"/>
              <w:left w:val="single" w:sz="6" w:space="0" w:color="000000"/>
              <w:bottom w:val="single" w:sz="6" w:space="0" w:color="000000"/>
              <w:right w:val="single" w:sz="6" w:space="0" w:color="000000"/>
            </w:tcBorders>
          </w:tcPr>
          <w:p w14:paraId="346C94AC" w14:textId="0EEE3FEC" w:rsidR="001A3BE5" w:rsidRDefault="001A3BE5" w:rsidP="006E5188">
            <w:pPr>
              <w:widowControl/>
              <w:rPr>
                <w:rFonts w:ascii="Times New Roman" w:hAnsi="Times New Roman"/>
                <w:sz w:val="24"/>
                <w:szCs w:val="24"/>
              </w:rPr>
            </w:pPr>
            <w:r>
              <w:rPr>
                <w:rFonts w:ascii="Times New Roman" w:hAnsi="Times New Roman"/>
                <w:sz w:val="24"/>
                <w:szCs w:val="24"/>
              </w:rPr>
              <w:t>PGx Dissemination Working Group</w:t>
            </w:r>
          </w:p>
        </w:tc>
        <w:tc>
          <w:tcPr>
            <w:tcW w:w="7462" w:type="dxa"/>
            <w:tcBorders>
              <w:top w:val="single" w:sz="6" w:space="0" w:color="000000"/>
              <w:left w:val="single" w:sz="6" w:space="0" w:color="000000"/>
              <w:bottom w:val="single" w:sz="6" w:space="0" w:color="000000"/>
              <w:right w:val="single" w:sz="6" w:space="0" w:color="000000"/>
            </w:tcBorders>
          </w:tcPr>
          <w:p w14:paraId="449065AC" w14:textId="5956E630" w:rsidR="00563008" w:rsidRDefault="00112086" w:rsidP="00843E09">
            <w:pPr>
              <w:rPr>
                <w:rFonts w:ascii="Times New Roman" w:hAnsi="Times New Roman"/>
                <w:sz w:val="24"/>
                <w:szCs w:val="24"/>
              </w:rPr>
            </w:pPr>
            <w:r>
              <w:rPr>
                <w:rFonts w:ascii="Times New Roman" w:hAnsi="Times New Roman"/>
                <w:sz w:val="24"/>
                <w:szCs w:val="24"/>
              </w:rPr>
              <w:t>Andrew Monte</w:t>
            </w:r>
            <w:r w:rsidR="00563008">
              <w:rPr>
                <w:rFonts w:ascii="Times New Roman" w:hAnsi="Times New Roman"/>
                <w:sz w:val="24"/>
                <w:szCs w:val="24"/>
              </w:rPr>
              <w:t xml:space="preserve"> provided an update on behalf of the PGx Dissemination Working Group. </w:t>
            </w:r>
            <w:r w:rsidR="00742591">
              <w:rPr>
                <w:rFonts w:ascii="Times New Roman" w:hAnsi="Times New Roman"/>
                <w:sz w:val="24"/>
                <w:szCs w:val="24"/>
              </w:rPr>
              <w:t xml:space="preserve">Progress is being made with respect to writing commentaries about CPIC guidelines, improving outreach via social media, and identifying CPIC champions in a variety of medical societies. Slides will be included with the minutes. </w:t>
            </w:r>
          </w:p>
        </w:tc>
        <w:tc>
          <w:tcPr>
            <w:tcW w:w="4132" w:type="dxa"/>
            <w:tcBorders>
              <w:top w:val="single" w:sz="6" w:space="0" w:color="000000"/>
              <w:left w:val="single" w:sz="6" w:space="0" w:color="000000"/>
              <w:bottom w:val="single" w:sz="6" w:space="0" w:color="000000"/>
              <w:right w:val="single" w:sz="6" w:space="0" w:color="000000"/>
            </w:tcBorders>
          </w:tcPr>
          <w:p w14:paraId="7299537E" w14:textId="58056865" w:rsidR="001A3BE5" w:rsidRDefault="007F5469" w:rsidP="00354925">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Members encouraged to continue to use social media.</w:t>
            </w:r>
          </w:p>
        </w:tc>
      </w:tr>
      <w:tr w:rsidR="006A1DCB" w:rsidRPr="000F4665" w14:paraId="75BC1C0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70291F" w14:textId="19D54BD1" w:rsidR="006A1DCB" w:rsidRDefault="006A1DCB" w:rsidP="001A3BE5">
            <w:pPr>
              <w:widowControl/>
              <w:rPr>
                <w:rFonts w:ascii="Times New Roman" w:hAnsi="Times New Roman"/>
                <w:sz w:val="24"/>
                <w:szCs w:val="24"/>
              </w:rPr>
            </w:pPr>
            <w:r>
              <w:rPr>
                <w:rFonts w:ascii="Times New Roman" w:hAnsi="Times New Roman"/>
                <w:sz w:val="24"/>
                <w:szCs w:val="24"/>
              </w:rPr>
              <w:t>Pharmacogenomic</w:t>
            </w:r>
            <w:r w:rsidR="001A3BE5">
              <w:rPr>
                <w:rFonts w:ascii="Times New Roman" w:hAnsi="Times New Roman"/>
                <w:sz w:val="24"/>
                <w:szCs w:val="24"/>
              </w:rPr>
              <w:t>s return of results in the All of Us research program</w:t>
            </w:r>
          </w:p>
        </w:tc>
        <w:tc>
          <w:tcPr>
            <w:tcW w:w="7462" w:type="dxa"/>
            <w:tcBorders>
              <w:top w:val="single" w:sz="6" w:space="0" w:color="000000"/>
              <w:left w:val="single" w:sz="6" w:space="0" w:color="000000"/>
              <w:bottom w:val="single" w:sz="6" w:space="0" w:color="000000"/>
              <w:right w:val="single" w:sz="6" w:space="0" w:color="000000"/>
            </w:tcBorders>
          </w:tcPr>
          <w:p w14:paraId="45E64F0C" w14:textId="29F2C255" w:rsidR="006A1DCB" w:rsidRDefault="008D4D55" w:rsidP="008D4D55">
            <w:pPr>
              <w:widowControl/>
              <w:rPr>
                <w:rFonts w:ascii="Times New Roman" w:hAnsi="Times New Roman"/>
                <w:sz w:val="24"/>
                <w:szCs w:val="24"/>
              </w:rPr>
            </w:pPr>
            <w:r>
              <w:rPr>
                <w:rFonts w:ascii="Times New Roman" w:hAnsi="Times New Roman"/>
                <w:sz w:val="24"/>
                <w:szCs w:val="24"/>
              </w:rPr>
              <w:t xml:space="preserve">Philip Empey </w:t>
            </w:r>
            <w:r w:rsidR="00ED520F">
              <w:rPr>
                <w:rFonts w:ascii="Times New Roman" w:hAnsi="Times New Roman"/>
                <w:sz w:val="24"/>
                <w:szCs w:val="24"/>
              </w:rPr>
              <w:t xml:space="preserve">presented on </w:t>
            </w:r>
            <w:r w:rsidR="00742591">
              <w:rPr>
                <w:rFonts w:ascii="Times New Roman" w:hAnsi="Times New Roman"/>
                <w:sz w:val="24"/>
                <w:szCs w:val="24"/>
              </w:rPr>
              <w:t xml:space="preserve">the strategy for returning pharmacogenomics results to All of Us research program participants. This process </w:t>
            </w:r>
            <w:r w:rsidR="0030542D">
              <w:rPr>
                <w:rFonts w:ascii="Times New Roman" w:hAnsi="Times New Roman"/>
                <w:sz w:val="24"/>
                <w:szCs w:val="24"/>
              </w:rPr>
              <w:t xml:space="preserve">is informed by CPIC guidelines </w:t>
            </w:r>
            <w:r w:rsidR="00742591">
              <w:rPr>
                <w:rFonts w:ascii="Times New Roman" w:hAnsi="Times New Roman"/>
                <w:sz w:val="24"/>
                <w:szCs w:val="24"/>
              </w:rPr>
              <w:t xml:space="preserve">and associated resources. </w:t>
            </w:r>
            <w:r w:rsidR="00ED520F">
              <w:rPr>
                <w:rFonts w:ascii="Times New Roman" w:hAnsi="Times New Roman"/>
                <w:sz w:val="24"/>
                <w:szCs w:val="24"/>
              </w:rPr>
              <w:t xml:space="preserve">Slides will be included with minutes. </w:t>
            </w:r>
          </w:p>
        </w:tc>
        <w:tc>
          <w:tcPr>
            <w:tcW w:w="4132" w:type="dxa"/>
            <w:tcBorders>
              <w:top w:val="single" w:sz="6" w:space="0" w:color="000000"/>
              <w:left w:val="single" w:sz="6" w:space="0" w:color="000000"/>
              <w:bottom w:val="single" w:sz="6" w:space="0" w:color="000000"/>
              <w:right w:val="single" w:sz="6" w:space="0" w:color="000000"/>
            </w:tcBorders>
          </w:tcPr>
          <w:p w14:paraId="2F734F76" w14:textId="51A2409E" w:rsidR="006A1DCB" w:rsidRDefault="007F5469" w:rsidP="00354925">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Members encouraged to join All of Us</w:t>
            </w:r>
            <w:r w:rsidR="00C27B2B">
              <w:rPr>
                <w:rFonts w:ascii="Times New Roman" w:hAnsi="Times New Roman"/>
                <w:sz w:val="24"/>
                <w:szCs w:val="24"/>
              </w:rPr>
              <w:t xml:space="preserve"> (</w:t>
            </w:r>
            <w:hyperlink r:id="rId11" w:history="1">
              <w:r w:rsidR="00917E8D" w:rsidRPr="00A670C5">
                <w:rPr>
                  <w:rStyle w:val="Hyperlink"/>
                  <w:rFonts w:ascii="Times New Roman" w:hAnsi="Times New Roman"/>
                  <w:sz w:val="24"/>
                  <w:szCs w:val="24"/>
                </w:rPr>
                <w:t>https://www.joinallofus.org/</w:t>
              </w:r>
            </w:hyperlink>
            <w:r w:rsidR="00C27B2B">
              <w:rPr>
                <w:rFonts w:ascii="Times New Roman" w:hAnsi="Times New Roman"/>
                <w:sz w:val="24"/>
                <w:szCs w:val="24"/>
              </w:rPr>
              <w:t>).</w:t>
            </w:r>
          </w:p>
        </w:tc>
      </w:tr>
    </w:tbl>
    <w:p w14:paraId="2103981B" w14:textId="77777777"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E79F8"/>
    <w:multiLevelType w:val="multilevel"/>
    <w:tmpl w:val="F5DCA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0707C"/>
    <w:multiLevelType w:val="multilevel"/>
    <w:tmpl w:val="2D6C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1"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4E2947"/>
    <w:multiLevelType w:val="hybridMultilevel"/>
    <w:tmpl w:val="3AAC5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6"/>
  </w:num>
  <w:num w:numId="10">
    <w:abstractNumId w:val="10"/>
  </w:num>
  <w:num w:numId="11">
    <w:abstractNumId w:val="33"/>
  </w:num>
  <w:num w:numId="12">
    <w:abstractNumId w:val="26"/>
  </w:num>
  <w:num w:numId="13">
    <w:abstractNumId w:val="21"/>
  </w:num>
  <w:num w:numId="14">
    <w:abstractNumId w:val="32"/>
  </w:num>
  <w:num w:numId="15">
    <w:abstractNumId w:val="1"/>
  </w:num>
  <w:num w:numId="16">
    <w:abstractNumId w:val="22"/>
  </w:num>
  <w:num w:numId="17">
    <w:abstractNumId w:val="28"/>
  </w:num>
  <w:num w:numId="18">
    <w:abstractNumId w:val="17"/>
  </w:num>
  <w:num w:numId="19">
    <w:abstractNumId w:val="30"/>
  </w:num>
  <w:num w:numId="20">
    <w:abstractNumId w:val="1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1"/>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4"/>
  </w:num>
  <w:num w:numId="30">
    <w:abstractNumId w:val="14"/>
  </w:num>
  <w:num w:numId="31">
    <w:abstractNumId w:val="27"/>
  </w:num>
  <w:num w:numId="32">
    <w:abstractNumId w:val="4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lvlOverride w:ilvl="1">
      <w:startOverride w:val="1"/>
    </w:lvlOverride>
  </w:num>
  <w:num w:numId="42">
    <w:abstractNumId w:val="8"/>
  </w:num>
  <w:num w:numId="43">
    <w:abstractNumId w:val="36"/>
  </w:num>
  <w:num w:numId="44">
    <w:abstractNumId w:val="2"/>
  </w:num>
  <w:num w:numId="45">
    <w:abstractNumId w:val="6"/>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98F"/>
    <w:rsid w:val="000F4F38"/>
    <w:rsid w:val="000F60D5"/>
    <w:rsid w:val="000F79C5"/>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5B17"/>
    <w:rsid w:val="003D775E"/>
    <w:rsid w:val="003E10B0"/>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4B97"/>
    <w:rsid w:val="00475027"/>
    <w:rsid w:val="00475396"/>
    <w:rsid w:val="00476BF7"/>
    <w:rsid w:val="00476F0C"/>
    <w:rsid w:val="00477418"/>
    <w:rsid w:val="004804B4"/>
    <w:rsid w:val="00482840"/>
    <w:rsid w:val="004828EF"/>
    <w:rsid w:val="00482BA5"/>
    <w:rsid w:val="004839C4"/>
    <w:rsid w:val="00485DCF"/>
    <w:rsid w:val="00487B59"/>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B67"/>
    <w:rsid w:val="00512586"/>
    <w:rsid w:val="005130E6"/>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F4C"/>
    <w:rsid w:val="005E426C"/>
    <w:rsid w:val="005E4A0B"/>
    <w:rsid w:val="005E507B"/>
    <w:rsid w:val="005E557B"/>
    <w:rsid w:val="005E62F1"/>
    <w:rsid w:val="005E6335"/>
    <w:rsid w:val="005E66C9"/>
    <w:rsid w:val="005E6CC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1E24"/>
    <w:rsid w:val="0063239D"/>
    <w:rsid w:val="00632D27"/>
    <w:rsid w:val="0063359C"/>
    <w:rsid w:val="006353E6"/>
    <w:rsid w:val="006376A2"/>
    <w:rsid w:val="006404E5"/>
    <w:rsid w:val="00640FDE"/>
    <w:rsid w:val="0066224C"/>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D4D55"/>
    <w:rsid w:val="008E1145"/>
    <w:rsid w:val="008E6D58"/>
    <w:rsid w:val="008F0614"/>
    <w:rsid w:val="008F1ECB"/>
    <w:rsid w:val="008F4284"/>
    <w:rsid w:val="008F6CA5"/>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E7349"/>
    <w:rsid w:val="00AF1B99"/>
    <w:rsid w:val="00AF20C2"/>
    <w:rsid w:val="00AF21C8"/>
    <w:rsid w:val="00AF65CA"/>
    <w:rsid w:val="00AF6B53"/>
    <w:rsid w:val="00AF6B9E"/>
    <w:rsid w:val="00AF7053"/>
    <w:rsid w:val="00B0022C"/>
    <w:rsid w:val="00B006A3"/>
    <w:rsid w:val="00B13E7A"/>
    <w:rsid w:val="00B14CB6"/>
    <w:rsid w:val="00B15338"/>
    <w:rsid w:val="00B16912"/>
    <w:rsid w:val="00B16DEF"/>
    <w:rsid w:val="00B212AC"/>
    <w:rsid w:val="00B266CA"/>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C23D9"/>
    <w:rsid w:val="00BC3FB9"/>
    <w:rsid w:val="00BC4BD1"/>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5EC"/>
    <w:rsid w:val="00C57F84"/>
    <w:rsid w:val="00C62C54"/>
    <w:rsid w:val="00C64D7A"/>
    <w:rsid w:val="00C70CAA"/>
    <w:rsid w:val="00C72347"/>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714E"/>
    <w:rsid w:val="00D072AC"/>
    <w:rsid w:val="00D12A94"/>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prioritization-of-cpic-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inallofus.org/" TargetMode="External"/><Relationship Id="rId5" Type="http://schemas.openxmlformats.org/officeDocument/2006/relationships/webSettings" Target="webSettings.xml"/><Relationship Id="rId10" Type="http://schemas.openxmlformats.org/officeDocument/2006/relationships/hyperlink" Target="mailto:cpic@cpicpgx.org" TargetMode="External"/><Relationship Id="rId4" Type="http://schemas.openxmlformats.org/officeDocument/2006/relationships/settings" Target="settings.xml"/><Relationship Id="rId9" Type="http://schemas.openxmlformats.org/officeDocument/2006/relationships/hyperlink" Target="https://cpicpgx.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404A-44B0-4DDF-95AA-26625B7F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2020-11-11T14:41:00Z</dcterms:created>
  <dcterms:modified xsi:type="dcterms:W3CDTF">2020-11-11T14:41:00Z</dcterms:modified>
</cp:coreProperties>
</file>