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86CDE" w14:textId="7FD81848" w:rsidR="00E845CE" w:rsidRDefault="00E845CE" w:rsidP="00AA7CE0">
      <w:pPr>
        <w:pStyle w:val="Heading"/>
        <w:jc w:val="center"/>
      </w:pPr>
      <w:r>
        <w:t xml:space="preserve">CPIC Term Standardization part 2: </w:t>
      </w:r>
      <w:r w:rsidRPr="00E845CE">
        <w:rPr>
          <w:i/>
          <w:iCs/>
        </w:rPr>
        <w:t>MT-RNR1</w:t>
      </w:r>
      <w:r>
        <w:t xml:space="preserve"> final termS</w:t>
      </w:r>
    </w:p>
    <w:p w14:paraId="20287254" w14:textId="77777777" w:rsidR="00E845CE" w:rsidRPr="00E845CE" w:rsidRDefault="00E845CE" w:rsidP="00E845CE">
      <w:pPr>
        <w:rPr>
          <w:lang w:eastAsia="en-GB"/>
        </w:rPr>
      </w:pPr>
    </w:p>
    <w:p w14:paraId="35E804D9" w14:textId="06149B85" w:rsidR="00360E1B" w:rsidRPr="00360E1B" w:rsidRDefault="00E845CE" w:rsidP="00360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/>
          <w:bdr w:val="none" w:sz="0" w:space="0" w:color="auto"/>
        </w:rPr>
      </w:pPr>
      <w:r w:rsidRPr="00E845CE">
        <w:rPr>
          <w:rFonts w:eastAsiaTheme="minorHAnsi"/>
          <w:bdr w:val="none" w:sz="0" w:space="0" w:color="auto"/>
        </w:rPr>
        <w:t>After a series of conference calls and surveys, th</w:t>
      </w:r>
      <w:r w:rsidR="00360E1B" w:rsidRPr="00360E1B">
        <w:rPr>
          <w:rFonts w:eastAsiaTheme="minorHAnsi"/>
          <w:bdr w:val="none" w:sz="0" w:space="0" w:color="auto"/>
        </w:rPr>
        <w:t xml:space="preserve">e MT-RNR1 Gene/Disease and PGx expert panels have agreed on terminology for </w:t>
      </w:r>
      <w:r w:rsidR="00360E1B" w:rsidRPr="00360E1B">
        <w:rPr>
          <w:rFonts w:eastAsiaTheme="minorHAnsi"/>
          <w:i/>
          <w:iCs/>
          <w:bdr w:val="none" w:sz="0" w:space="0" w:color="auto"/>
        </w:rPr>
        <w:t>MT-RNR1</w:t>
      </w:r>
      <w:r w:rsidR="00360E1B" w:rsidRPr="00360E1B">
        <w:rPr>
          <w:rFonts w:eastAsiaTheme="minorHAnsi"/>
          <w:bdr w:val="none" w:sz="0" w:space="0" w:color="auto"/>
        </w:rPr>
        <w:t xml:space="preserve"> and aminoglycoside-induced hearing loss. Terms that will be used to describe CPIC clinical function are </w:t>
      </w:r>
      <w:r w:rsidR="00360E1B" w:rsidRPr="00E845CE">
        <w:rPr>
          <w:rFonts w:eastAsiaTheme="minorHAnsi"/>
          <w:bdr w:val="none" w:sz="0" w:space="0" w:color="auto"/>
        </w:rPr>
        <w:t xml:space="preserve">in </w:t>
      </w:r>
      <w:r w:rsidR="00360E1B" w:rsidRPr="00E845CE">
        <w:rPr>
          <w:rFonts w:eastAsiaTheme="minorHAnsi"/>
          <w:color w:val="FF0000"/>
          <w:bdr w:val="none" w:sz="0" w:space="0" w:color="auto"/>
        </w:rPr>
        <w:t>red font</w:t>
      </w:r>
      <w:r w:rsidR="00360E1B" w:rsidRPr="00E845CE">
        <w:rPr>
          <w:rFonts w:eastAsiaTheme="minorHAnsi"/>
          <w:bdr w:val="none" w:sz="0" w:space="0" w:color="auto"/>
        </w:rPr>
        <w:t xml:space="preserve"> and phenotype terms are in </w:t>
      </w:r>
      <w:r w:rsidR="00360E1B" w:rsidRPr="00E845CE">
        <w:rPr>
          <w:rFonts w:eastAsiaTheme="minorHAnsi"/>
          <w:color w:val="1F4E79" w:themeColor="accent5" w:themeShade="80"/>
          <w:bdr w:val="none" w:sz="0" w:space="0" w:color="auto"/>
        </w:rPr>
        <w:t>blue font</w:t>
      </w:r>
      <w:r w:rsidR="00DE3EFF">
        <w:rPr>
          <w:rFonts w:eastAsiaTheme="minorHAnsi"/>
          <w:color w:val="1F4E79" w:themeColor="accent5" w:themeShade="80"/>
          <w:bdr w:val="none" w:sz="0" w:space="0" w:color="auto"/>
        </w:rPr>
        <w:t xml:space="preserve"> </w:t>
      </w:r>
      <w:r w:rsidR="00DE3EFF" w:rsidRPr="00DE3EFF">
        <w:rPr>
          <w:rFonts w:eastAsiaTheme="minorHAnsi"/>
          <w:bdr w:val="none" w:sz="0" w:space="0" w:color="auto"/>
        </w:rPr>
        <w:t>in Table 1 below</w:t>
      </w:r>
      <w:r w:rsidR="00360E1B" w:rsidRPr="00E845CE">
        <w:rPr>
          <w:rFonts w:eastAsiaTheme="minorHAnsi"/>
          <w:bdr w:val="none" w:sz="0" w:space="0" w:color="auto"/>
        </w:rPr>
        <w:t xml:space="preserve">. The </w:t>
      </w:r>
      <w:r w:rsidR="00F94AD3">
        <w:rPr>
          <w:rFonts w:eastAsiaTheme="minorHAnsi"/>
          <w:bdr w:val="none" w:sz="0" w:space="0" w:color="auto"/>
        </w:rPr>
        <w:t>tables</w:t>
      </w:r>
      <w:r w:rsidR="00360E1B" w:rsidRPr="00E845CE">
        <w:rPr>
          <w:rFonts w:eastAsiaTheme="minorHAnsi"/>
          <w:bdr w:val="none" w:sz="0" w:space="0" w:color="auto"/>
        </w:rPr>
        <w:t xml:space="preserve"> below </w:t>
      </w:r>
      <w:r w:rsidR="00F94AD3">
        <w:rPr>
          <w:rFonts w:eastAsiaTheme="minorHAnsi"/>
          <w:bdr w:val="none" w:sz="0" w:space="0" w:color="auto"/>
        </w:rPr>
        <w:t>are</w:t>
      </w:r>
      <w:r w:rsidR="00360E1B" w:rsidRPr="00E845CE">
        <w:rPr>
          <w:rFonts w:eastAsiaTheme="minorHAnsi"/>
          <w:bdr w:val="none" w:sz="0" w:space="0" w:color="auto"/>
        </w:rPr>
        <w:t xml:space="preserve"> how these terms will be displayed in the upcoming </w:t>
      </w:r>
      <w:r w:rsidRPr="00E845CE">
        <w:rPr>
          <w:rFonts w:eastAsiaTheme="minorHAnsi"/>
          <w:bdr w:val="none" w:sz="0" w:space="0" w:color="auto"/>
        </w:rPr>
        <w:t xml:space="preserve">CPIC </w:t>
      </w:r>
      <w:r w:rsidR="00360E1B" w:rsidRPr="00E845CE">
        <w:rPr>
          <w:rFonts w:eastAsiaTheme="minorHAnsi"/>
          <w:i/>
          <w:iCs/>
          <w:bdr w:val="none" w:sz="0" w:space="0" w:color="auto"/>
        </w:rPr>
        <w:t>MT-RNR1</w:t>
      </w:r>
      <w:r w:rsidR="00360E1B" w:rsidRPr="00E845CE">
        <w:rPr>
          <w:rFonts w:eastAsiaTheme="minorHAnsi"/>
          <w:bdr w:val="none" w:sz="0" w:space="0" w:color="auto"/>
        </w:rPr>
        <w:t xml:space="preserve"> guideline. Send feedback on the terms to Kelly Caudle at </w:t>
      </w:r>
      <w:hyperlink r:id="rId4" w:history="1">
        <w:r w:rsidR="00360E1B" w:rsidRPr="00E845CE">
          <w:rPr>
            <w:rStyle w:val="Hyperlink"/>
            <w:rFonts w:eastAsiaTheme="minorHAnsi"/>
            <w:bdr w:val="none" w:sz="0" w:space="0" w:color="auto"/>
          </w:rPr>
          <w:t>Kelly.caudle@stjude.org</w:t>
        </w:r>
      </w:hyperlink>
      <w:r w:rsidR="00360E1B" w:rsidRPr="00E845CE">
        <w:rPr>
          <w:rFonts w:eastAsiaTheme="minorHAnsi"/>
          <w:bdr w:val="none" w:sz="0" w:space="0" w:color="auto"/>
        </w:rPr>
        <w:t xml:space="preserve">. Please note, CPIC is only seeking feedback on the </w:t>
      </w:r>
      <w:r w:rsidR="00360E1B" w:rsidRPr="00E845CE">
        <w:rPr>
          <w:rFonts w:eastAsiaTheme="minorHAnsi"/>
          <w:u w:val="single"/>
          <w:bdr w:val="none" w:sz="0" w:space="0" w:color="auto"/>
        </w:rPr>
        <w:t xml:space="preserve">terminology </w:t>
      </w:r>
      <w:r w:rsidR="00360E1B" w:rsidRPr="00E845CE">
        <w:rPr>
          <w:rFonts w:eastAsiaTheme="minorHAnsi"/>
          <w:bdr w:val="none" w:sz="0" w:space="0" w:color="auto"/>
        </w:rPr>
        <w:t>used to describe allele function and phenotype.</w:t>
      </w:r>
    </w:p>
    <w:p w14:paraId="4F171183" w14:textId="77777777" w:rsidR="00360E1B" w:rsidRPr="00360E1B" w:rsidRDefault="00360E1B" w:rsidP="00360E1B"/>
    <w:p w14:paraId="7096C203" w14:textId="5E7BD13E" w:rsidR="00AA2C61" w:rsidRDefault="00AA2C61" w:rsidP="00AA2C61">
      <w:pPr>
        <w:pStyle w:val="Heading"/>
      </w:pPr>
      <w:r>
        <w:t>Table 1. Assignment of MT-RNR1 phenotype based on genotype</w:t>
      </w:r>
    </w:p>
    <w:tbl>
      <w:tblPr>
        <w:tblW w:w="129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A2C61" w14:paraId="21ADA28B" w14:textId="77777777" w:rsidTr="009301D8">
        <w:trPr>
          <w:trHeight w:val="320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5D21B" w14:textId="77777777" w:rsidR="00AA2C61" w:rsidRDefault="00AA2C61" w:rsidP="009301D8">
            <w:pPr>
              <w:pStyle w:val="BodyAA"/>
              <w:spacing w:after="160" w:line="259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Likely phenotype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181E" w14:textId="77777777" w:rsidR="00AA2C61" w:rsidRDefault="00AA2C61" w:rsidP="009301D8">
            <w:pPr>
              <w:pStyle w:val="Body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Genotypes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2D95" w14:textId="77777777" w:rsidR="00AA2C61" w:rsidRDefault="00AA2C61" w:rsidP="009301D8">
            <w:pPr>
              <w:pStyle w:val="Body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Example genotypes</w:t>
            </w:r>
          </w:p>
        </w:tc>
      </w:tr>
      <w:tr w:rsidR="00AA2C61" w14:paraId="201AEF4F" w14:textId="77777777" w:rsidTr="009301D8">
        <w:trPr>
          <w:trHeight w:val="864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17A2D" w14:textId="77777777" w:rsidR="00AA2C61" w:rsidRDefault="00AA2C61" w:rsidP="009301D8">
            <w:pPr>
              <w:pStyle w:val="BodyAA"/>
            </w:pPr>
            <w:bookmarkStart w:id="0" w:name="_Hlk66286175"/>
            <w:r w:rsidRPr="00360E1B">
              <w:rPr>
                <w:rFonts w:ascii="Times New Roman" w:hAnsi="Times New Roman"/>
                <w:color w:val="1F4E79" w:themeColor="accent5" w:themeShade="80"/>
                <w:sz w:val="24"/>
                <w:szCs w:val="24"/>
              </w:rPr>
              <w:t xml:space="preserve">MT-RNR1 increased risk of aminoglycoside-induced hearing loss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D55B" w14:textId="77777777" w:rsidR="00AA2C61" w:rsidRDefault="00AA2C61" w:rsidP="009301D8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Individuals with a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MT-RNR1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variant associated with an </w:t>
            </w:r>
            <w:r w:rsidRPr="00360E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increased risk of aminoglycoside-induced hearing loss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E910" w14:textId="77777777" w:rsidR="00AA2C61" w:rsidRDefault="00AA2C61" w:rsidP="009301D8">
            <w:pPr>
              <w:pStyle w:val="Body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m.1095T&gt;C</w:t>
            </w:r>
          </w:p>
          <w:p w14:paraId="1282DEF6" w14:textId="77777777" w:rsidR="00AA2C61" w:rsidRDefault="00AA2C61" w:rsidP="009301D8">
            <w:pPr>
              <w:pStyle w:val="Body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m.1494C&gt;T</w:t>
            </w:r>
          </w:p>
          <w:p w14:paraId="41B0362B" w14:textId="77777777" w:rsidR="00AA2C61" w:rsidRDefault="00AA2C61" w:rsidP="009301D8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>m.1555A&gt;G</w:t>
            </w:r>
          </w:p>
        </w:tc>
      </w:tr>
      <w:tr w:rsidR="00AA2C61" w14:paraId="28FD00F8" w14:textId="77777777" w:rsidTr="009301D8">
        <w:trPr>
          <w:trHeight w:val="1008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5B74" w14:textId="77777777" w:rsidR="00AA2C61" w:rsidRDefault="00AA2C61" w:rsidP="009301D8">
            <w:pPr>
              <w:pStyle w:val="BodyAA"/>
            </w:pPr>
            <w:r w:rsidRPr="00360E1B">
              <w:rPr>
                <w:rFonts w:ascii="Times New Roman" w:hAnsi="Times New Roman"/>
                <w:color w:val="1F4E79" w:themeColor="accent5" w:themeShade="80"/>
                <w:sz w:val="24"/>
                <w:szCs w:val="24"/>
              </w:rPr>
              <w:t xml:space="preserve">MT-RNR1 normal risk of aminoglycoside-induced hearing loss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3BFE" w14:textId="77777777" w:rsidR="00AA2C61" w:rsidRDefault="00AA2C61" w:rsidP="009301D8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Individuals with no detectable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MT-RNR1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increased risk variant or a </w:t>
            </w:r>
            <w:r w:rsidRPr="00DF65BF">
              <w:rPr>
                <w:rFonts w:ascii="Times New Roman" w:hAnsi="Times New Roman"/>
                <w:i/>
                <w:iCs/>
                <w:sz w:val="24"/>
                <w:szCs w:val="24"/>
              </w:rPr>
              <w:t>MT-RNR1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variant associated with </w:t>
            </w:r>
            <w:r w:rsidRPr="00360E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normal risk of aminoglycoside-induced hearing loss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6AB8" w14:textId="77777777" w:rsidR="00AA2C61" w:rsidRDefault="00AA2C61" w:rsidP="009301D8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>m.827A&gt;G</w:t>
            </w:r>
          </w:p>
        </w:tc>
      </w:tr>
      <w:tr w:rsidR="00AA2C61" w14:paraId="01AA3FB9" w14:textId="77777777" w:rsidTr="00360E1B">
        <w:trPr>
          <w:trHeight w:val="720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E1C5" w14:textId="12C188A2" w:rsidR="00AA2C61" w:rsidRDefault="00AA2C61" w:rsidP="009301D8">
            <w:pPr>
              <w:pStyle w:val="BodyAA"/>
            </w:pPr>
            <w:r w:rsidRPr="00360E1B">
              <w:rPr>
                <w:rFonts w:ascii="Times New Roman" w:hAnsi="Times New Roman"/>
                <w:color w:val="1F4E79" w:themeColor="accent5" w:themeShade="80"/>
                <w:sz w:val="24"/>
                <w:szCs w:val="24"/>
              </w:rPr>
              <w:t>MT-RNR1 uncertain risk of amino</w:t>
            </w:r>
            <w:r w:rsidR="00021C31" w:rsidRPr="00360E1B">
              <w:rPr>
                <w:rFonts w:ascii="Times New Roman" w:hAnsi="Times New Roman"/>
                <w:color w:val="1F4E79" w:themeColor="accent5" w:themeShade="80"/>
                <w:sz w:val="24"/>
                <w:szCs w:val="24"/>
              </w:rPr>
              <w:t>g</w:t>
            </w:r>
            <w:r w:rsidRPr="00360E1B">
              <w:rPr>
                <w:rFonts w:ascii="Times New Roman" w:hAnsi="Times New Roman"/>
                <w:color w:val="1F4E79" w:themeColor="accent5" w:themeShade="80"/>
                <w:sz w:val="24"/>
                <w:szCs w:val="24"/>
              </w:rPr>
              <w:t xml:space="preserve">lycoside-induced hearing loss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F478" w14:textId="77777777" w:rsidR="00AA2C61" w:rsidRDefault="00AA2C61" w:rsidP="009301D8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Individuals with a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MT-RNR1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variant associated with an </w:t>
            </w:r>
            <w:r w:rsidRPr="00360E1B">
              <w:rPr>
                <w:rFonts w:ascii="Times New Roman" w:hAnsi="Times New Roman"/>
                <w:color w:val="FF0000"/>
                <w:sz w:val="24"/>
                <w:szCs w:val="24"/>
              </w:rPr>
              <w:t>uncertain risk of aminoglycoside-induced hearing loss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7862" w14:textId="77777777" w:rsidR="00AA2C61" w:rsidRDefault="00AA2C61" w:rsidP="009301D8">
            <w:pPr>
              <w:pStyle w:val="BodyB"/>
            </w:pPr>
            <w:r>
              <w:t>m.663A&gt;G</w:t>
            </w:r>
          </w:p>
          <w:p w14:paraId="44D52ACF" w14:textId="77777777" w:rsidR="00AA2C61" w:rsidRDefault="00AA2C61" w:rsidP="009301D8">
            <w:pPr>
              <w:pStyle w:val="BodyB"/>
            </w:pPr>
            <w:r>
              <w:t>m.669T&gt;C</w:t>
            </w:r>
          </w:p>
          <w:p w14:paraId="40D80D8F" w14:textId="77777777" w:rsidR="00AA2C61" w:rsidRDefault="00AA2C61" w:rsidP="009301D8">
            <w:pPr>
              <w:pStyle w:val="BodyB"/>
            </w:pPr>
            <w:r>
              <w:t>m.747A&gt;G</w:t>
            </w:r>
          </w:p>
          <w:p w14:paraId="3B8CEFEE" w14:textId="77777777" w:rsidR="00AA2C61" w:rsidRDefault="00AA2C61" w:rsidP="009301D8">
            <w:pPr>
              <w:pStyle w:val="BodyB"/>
            </w:pPr>
            <w:r>
              <w:t>m.786G&gt;A</w:t>
            </w:r>
          </w:p>
          <w:p w14:paraId="28DD5428" w14:textId="77777777" w:rsidR="00AA2C61" w:rsidRDefault="00AA2C61" w:rsidP="009301D8">
            <w:pPr>
              <w:pStyle w:val="BodyB"/>
            </w:pPr>
            <w:r>
              <w:t>m.807A&gt;G</w:t>
            </w:r>
          </w:p>
          <w:p w14:paraId="4DF23C13" w14:textId="77777777" w:rsidR="00AA2C61" w:rsidRDefault="00AA2C61" w:rsidP="009301D8">
            <w:pPr>
              <w:pStyle w:val="BodyB"/>
            </w:pPr>
            <w:r>
              <w:t>m.807A&gt;C</w:t>
            </w:r>
          </w:p>
          <w:p w14:paraId="60F791EC" w14:textId="77777777" w:rsidR="00AA2C61" w:rsidRDefault="00AA2C61" w:rsidP="009301D8">
            <w:pPr>
              <w:pStyle w:val="BodyB"/>
            </w:pPr>
            <w:r>
              <w:t>m.839A&gt;G</w:t>
            </w:r>
          </w:p>
          <w:p w14:paraId="14A5EF97" w14:textId="77777777" w:rsidR="00AA2C61" w:rsidRDefault="00AA2C61" w:rsidP="009301D8">
            <w:pPr>
              <w:pStyle w:val="BodyB"/>
            </w:pPr>
            <w:r>
              <w:t>m.896A&gt;G</w:t>
            </w:r>
          </w:p>
          <w:p w14:paraId="3CE53A10" w14:textId="77777777" w:rsidR="00AA2C61" w:rsidRDefault="00AA2C61" w:rsidP="009301D8">
            <w:pPr>
              <w:pStyle w:val="BodyB"/>
            </w:pPr>
            <w:r>
              <w:t>m.930A&gt;G</w:t>
            </w:r>
          </w:p>
          <w:p w14:paraId="40F15938" w14:textId="77777777" w:rsidR="00AA2C61" w:rsidRDefault="00AA2C61" w:rsidP="009301D8">
            <w:pPr>
              <w:pStyle w:val="BodyB"/>
            </w:pPr>
            <w:r>
              <w:t>m.951G&gt;A</w:t>
            </w:r>
          </w:p>
          <w:p w14:paraId="05F89848" w14:textId="77777777" w:rsidR="00AA2C61" w:rsidRDefault="00AA2C61" w:rsidP="009301D8">
            <w:pPr>
              <w:pStyle w:val="BodyB"/>
            </w:pPr>
            <w:r>
              <w:t>m.960C&gt;del</w:t>
            </w:r>
          </w:p>
          <w:p w14:paraId="2CF6BAF4" w14:textId="77777777" w:rsidR="00AA2C61" w:rsidRDefault="00AA2C61" w:rsidP="009301D8">
            <w:pPr>
              <w:pStyle w:val="BodyB"/>
            </w:pPr>
            <w:r>
              <w:t>m.961T&gt;G</w:t>
            </w:r>
          </w:p>
          <w:p w14:paraId="106EF058" w14:textId="77777777" w:rsidR="00AA2C61" w:rsidRDefault="00AA2C61" w:rsidP="009301D8">
            <w:pPr>
              <w:pStyle w:val="BodyB"/>
            </w:pPr>
            <w:r>
              <w:t>m.961T&gt;del</w:t>
            </w:r>
          </w:p>
          <w:p w14:paraId="0B07214F" w14:textId="77777777" w:rsidR="00AA2C61" w:rsidRDefault="00AA2C61" w:rsidP="009301D8">
            <w:pPr>
              <w:pStyle w:val="BodyB"/>
            </w:pPr>
            <w:r>
              <w:t>m.961T&gt;</w:t>
            </w:r>
            <w:proofErr w:type="spellStart"/>
            <w:r>
              <w:t>del+Cn</w:t>
            </w:r>
            <w:proofErr w:type="spellEnd"/>
          </w:p>
          <w:p w14:paraId="2B95962A" w14:textId="77777777" w:rsidR="00AA2C61" w:rsidRDefault="00AA2C61" w:rsidP="009301D8">
            <w:pPr>
              <w:pStyle w:val="BodyB"/>
            </w:pPr>
            <w:r>
              <w:t>m.988G&gt;A</w:t>
            </w:r>
          </w:p>
          <w:p w14:paraId="24AE8128" w14:textId="77777777" w:rsidR="00AA2C61" w:rsidRDefault="00AA2C61" w:rsidP="009301D8">
            <w:pPr>
              <w:pStyle w:val="BodyB"/>
            </w:pPr>
            <w:r>
              <w:t>m.1189T&gt;C</w:t>
            </w:r>
          </w:p>
          <w:p w14:paraId="559DA256" w14:textId="77777777" w:rsidR="00AA2C61" w:rsidRDefault="00AA2C61" w:rsidP="009301D8">
            <w:pPr>
              <w:pStyle w:val="BodyB"/>
            </w:pPr>
            <w:r>
              <w:t>m.1243T&gt;C</w:t>
            </w:r>
          </w:p>
          <w:p w14:paraId="4093073C" w14:textId="77777777" w:rsidR="00AA2C61" w:rsidRDefault="00AA2C61" w:rsidP="009301D8">
            <w:pPr>
              <w:pStyle w:val="BodyB"/>
            </w:pPr>
            <w:r>
              <w:lastRenderedPageBreak/>
              <w:t>m.1520T&gt;C</w:t>
            </w:r>
          </w:p>
          <w:p w14:paraId="63896AF3" w14:textId="77777777" w:rsidR="00AA2C61" w:rsidRDefault="00AA2C61" w:rsidP="009301D8">
            <w:pPr>
              <w:pStyle w:val="BodyB"/>
            </w:pPr>
            <w:r>
              <w:t>m.1537C&gt;T</w:t>
            </w:r>
          </w:p>
          <w:p w14:paraId="29D8EA88" w14:textId="77777777" w:rsidR="00AA2C61" w:rsidRDefault="00AA2C61" w:rsidP="009301D8">
            <w:pPr>
              <w:pStyle w:val="BodyAA"/>
            </w:pPr>
            <w:r>
              <w:rPr>
                <w:rFonts w:ascii="Times New Roman" w:hAnsi="Times New Roman"/>
                <w:sz w:val="24"/>
                <w:szCs w:val="24"/>
              </w:rPr>
              <w:t>m.1556C&gt;T</w:t>
            </w:r>
          </w:p>
        </w:tc>
      </w:tr>
      <w:bookmarkEnd w:id="0"/>
    </w:tbl>
    <w:p w14:paraId="5DA57F03" w14:textId="5A521669" w:rsidR="00AA2C61" w:rsidRDefault="00AA2C61" w:rsidP="00AA2C61">
      <w:pPr>
        <w:rPr>
          <w:lang w:eastAsia="en-GB"/>
        </w:rPr>
      </w:pPr>
    </w:p>
    <w:p w14:paraId="1A32ACCA" w14:textId="251B716A" w:rsidR="00F94AD3" w:rsidRDefault="00F94AD3" w:rsidP="00AA2C61">
      <w:pPr>
        <w:rPr>
          <w:lang w:eastAsia="en-GB"/>
        </w:rPr>
      </w:pPr>
    </w:p>
    <w:p w14:paraId="28DAB38B" w14:textId="0B2543BB" w:rsidR="00F94AD3" w:rsidRDefault="00F94AD3" w:rsidP="00AA2C61">
      <w:pPr>
        <w:rPr>
          <w:lang w:eastAsia="en-GB"/>
        </w:rPr>
      </w:pPr>
      <w:r>
        <w:rPr>
          <w:lang w:eastAsia="en-GB"/>
        </w:rPr>
        <w:t>CPIC MT-RNR1 allele functionality table:</w:t>
      </w:r>
    </w:p>
    <w:p w14:paraId="2FA41714" w14:textId="4516324E" w:rsidR="00F94AD3" w:rsidRDefault="00F94AD3" w:rsidP="00AA2C61">
      <w:pPr>
        <w:rPr>
          <w:lang w:eastAsia="en-GB"/>
        </w:rPr>
      </w:pPr>
    </w:p>
    <w:p w14:paraId="7F94C495" w14:textId="0F14B2CF" w:rsidR="00F94AD3" w:rsidRPr="00AA2C61" w:rsidRDefault="00F94AD3" w:rsidP="00AA2C61">
      <w:pPr>
        <w:rPr>
          <w:lang w:eastAsia="en-GB"/>
        </w:rPr>
      </w:pPr>
      <w:r>
        <w:rPr>
          <w:noProof/>
        </w:rPr>
        <w:drawing>
          <wp:inline distT="0" distB="0" distL="0" distR="0" wp14:anchorId="281C770F" wp14:editId="3A394D4E">
            <wp:extent cx="9144000" cy="1710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AD3" w:rsidRPr="00AA2C61" w:rsidSect="00AA2C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61"/>
    <w:rsid w:val="00021C31"/>
    <w:rsid w:val="00360E1B"/>
    <w:rsid w:val="0036408F"/>
    <w:rsid w:val="00595365"/>
    <w:rsid w:val="008E37B8"/>
    <w:rsid w:val="00AA2C61"/>
    <w:rsid w:val="00AA7CE0"/>
    <w:rsid w:val="00D53363"/>
    <w:rsid w:val="00DE3EFF"/>
    <w:rsid w:val="00E845CE"/>
    <w:rsid w:val="00F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CC85"/>
  <w15:chartTrackingRefBased/>
  <w15:docId w15:val="{1A24DA36-BF9C-498D-ABFD-8B8194CB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rsid w:val="00AA2C6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aps/>
      <w:color w:val="000000"/>
      <w:sz w:val="24"/>
      <w:szCs w:val="24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AA2C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sid w:val="00AA2C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basedOn w:val="DefaultParagraphFont"/>
    <w:uiPriority w:val="99"/>
    <w:unhideWhenUsed/>
    <w:rsid w:val="00360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E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D3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elly.caudle@stju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Caudle, Kelly</dc:creator>
  <cp:keywords/>
  <dc:description/>
  <cp:lastModifiedBy>Caudle, Kelly</cp:lastModifiedBy>
  <cp:revision>7</cp:revision>
  <dcterms:created xsi:type="dcterms:W3CDTF">2021-05-10T15:41:00Z</dcterms:created>
  <dcterms:modified xsi:type="dcterms:W3CDTF">2021-05-10T19:51:00Z</dcterms:modified>
</cp:coreProperties>
</file>