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BB758" w14:textId="35BC1F69" w:rsidR="000F3ECF" w:rsidRPr="0037693D" w:rsidRDefault="0037693D" w:rsidP="0037693D">
      <w:pPr>
        <w:jc w:val="center"/>
        <w:rPr>
          <w:rFonts w:ascii="Times New Roman" w:hAnsi="Times New Roman" w:cs="Times New Roman"/>
          <w:b/>
          <w:bCs/>
          <w:sz w:val="24"/>
          <w:szCs w:val="24"/>
        </w:rPr>
      </w:pPr>
      <w:r w:rsidRPr="0037693D">
        <w:rPr>
          <w:rFonts w:ascii="Times New Roman" w:hAnsi="Times New Roman" w:cs="Times New Roman"/>
          <w:b/>
          <w:bCs/>
          <w:sz w:val="24"/>
          <w:szCs w:val="24"/>
        </w:rPr>
        <w:t>Term Standardization Part 2 proposal</w:t>
      </w:r>
    </w:p>
    <w:p w14:paraId="4157ADE3" w14:textId="052EBE6E" w:rsidR="0037693D" w:rsidRDefault="0037693D">
      <w:pPr>
        <w:rPr>
          <w:rFonts w:ascii="Times New Roman" w:hAnsi="Times New Roman" w:cs="Times New Roman"/>
          <w:sz w:val="24"/>
          <w:szCs w:val="24"/>
        </w:rPr>
      </w:pPr>
      <w:r>
        <w:rPr>
          <w:rFonts w:ascii="Times New Roman" w:hAnsi="Times New Roman" w:cs="Times New Roman"/>
          <w:sz w:val="24"/>
          <w:szCs w:val="24"/>
        </w:rPr>
        <w:t>Two expert panels will be created for each gene/drug guideline, a gene/disease expert panel and a PGx expert panel.</w:t>
      </w:r>
    </w:p>
    <w:p w14:paraId="2CD2D5C6" w14:textId="77777777" w:rsidR="0037693D" w:rsidRDefault="0037693D" w:rsidP="00192F1C">
      <w:pPr>
        <w:pStyle w:val="ListParagraph"/>
        <w:numPr>
          <w:ilvl w:val="0"/>
          <w:numId w:val="1"/>
        </w:numPr>
        <w:spacing w:before="120" w:after="120"/>
      </w:pPr>
      <w:r>
        <w:rPr>
          <w:rFonts w:eastAsiaTheme="minorEastAsia"/>
          <w:b/>
          <w:bCs/>
          <w:color w:val="000000" w:themeColor="text1"/>
          <w:kern w:val="24"/>
        </w:rPr>
        <w:t>Gene/Disease expert panel</w:t>
      </w:r>
    </w:p>
    <w:p w14:paraId="2F5FDFCD" w14:textId="0B25FC05" w:rsidR="0037693D" w:rsidRDefault="0037693D" w:rsidP="00192F1C">
      <w:pPr>
        <w:pStyle w:val="ListParagraph"/>
        <w:numPr>
          <w:ilvl w:val="1"/>
          <w:numId w:val="1"/>
        </w:numPr>
        <w:spacing w:before="120" w:after="120"/>
      </w:pPr>
      <w:r>
        <w:rPr>
          <w:rFonts w:eastAsiaTheme="minorEastAsia"/>
          <w:color w:val="000000" w:themeColor="text1"/>
          <w:kern w:val="24"/>
        </w:rPr>
        <w:t>CPIC guideline authors</w:t>
      </w:r>
    </w:p>
    <w:p w14:paraId="0C199145" w14:textId="77777777" w:rsidR="0037693D" w:rsidRDefault="0037693D" w:rsidP="00192F1C">
      <w:pPr>
        <w:pStyle w:val="ListParagraph"/>
        <w:numPr>
          <w:ilvl w:val="1"/>
          <w:numId w:val="1"/>
        </w:numPr>
        <w:spacing w:before="120" w:after="120"/>
      </w:pPr>
      <w:r>
        <w:rPr>
          <w:rFonts w:eastAsiaTheme="minorEastAsia"/>
          <w:color w:val="000000" w:themeColor="text1"/>
          <w:kern w:val="24"/>
        </w:rPr>
        <w:t>Representation from other expert panels, if applicable</w:t>
      </w:r>
    </w:p>
    <w:p w14:paraId="4BE6B6B8" w14:textId="5BF86C5D" w:rsidR="0037693D" w:rsidRDefault="0037693D" w:rsidP="00192F1C">
      <w:pPr>
        <w:pStyle w:val="ListParagraph"/>
        <w:numPr>
          <w:ilvl w:val="2"/>
          <w:numId w:val="1"/>
        </w:numPr>
        <w:spacing w:before="120" w:after="120"/>
      </w:pPr>
      <w:r>
        <w:rPr>
          <w:rFonts w:eastAsiaTheme="minorEastAsia"/>
          <w:color w:val="000000" w:themeColor="text1"/>
          <w:kern w:val="24"/>
        </w:rPr>
        <w:t>ClinGen Variant Curation Expert Panel</w:t>
      </w:r>
    </w:p>
    <w:p w14:paraId="6CFC8297" w14:textId="77777777" w:rsidR="0037693D" w:rsidRDefault="0037693D" w:rsidP="00192F1C">
      <w:pPr>
        <w:pStyle w:val="ListParagraph"/>
        <w:numPr>
          <w:ilvl w:val="2"/>
          <w:numId w:val="1"/>
        </w:numPr>
        <w:spacing w:before="120" w:after="120"/>
      </w:pPr>
      <w:r>
        <w:rPr>
          <w:rFonts w:eastAsiaTheme="minorEastAsia"/>
          <w:color w:val="000000" w:themeColor="text1"/>
          <w:kern w:val="24"/>
        </w:rPr>
        <w:t>ClinVar</w:t>
      </w:r>
    </w:p>
    <w:p w14:paraId="2E2ABB37" w14:textId="77777777" w:rsidR="0037693D" w:rsidRDefault="0037693D" w:rsidP="00192F1C">
      <w:pPr>
        <w:pStyle w:val="ListParagraph"/>
        <w:numPr>
          <w:ilvl w:val="2"/>
          <w:numId w:val="1"/>
        </w:numPr>
        <w:spacing w:before="120" w:after="120"/>
      </w:pPr>
      <w:r>
        <w:rPr>
          <w:rFonts w:eastAsiaTheme="minorEastAsia"/>
          <w:color w:val="000000" w:themeColor="text1"/>
          <w:kern w:val="24"/>
        </w:rPr>
        <w:t>FDA</w:t>
      </w:r>
    </w:p>
    <w:p w14:paraId="385CF73C" w14:textId="1E6CD373" w:rsidR="0037693D" w:rsidRPr="0020659D" w:rsidRDefault="0037693D" w:rsidP="00192F1C">
      <w:pPr>
        <w:pStyle w:val="ListParagraph"/>
        <w:numPr>
          <w:ilvl w:val="2"/>
          <w:numId w:val="1"/>
        </w:numPr>
        <w:spacing w:before="120" w:after="120"/>
      </w:pPr>
      <w:r>
        <w:rPr>
          <w:rFonts w:eastAsiaTheme="minorEastAsia"/>
          <w:color w:val="000000" w:themeColor="text1"/>
          <w:kern w:val="24"/>
        </w:rPr>
        <w:t>ACMG</w:t>
      </w:r>
    </w:p>
    <w:p w14:paraId="4FF8ACA8" w14:textId="745C869F" w:rsidR="0020659D" w:rsidRPr="0020659D" w:rsidRDefault="0020659D" w:rsidP="00192F1C">
      <w:pPr>
        <w:pStyle w:val="ListParagraph"/>
        <w:numPr>
          <w:ilvl w:val="2"/>
          <w:numId w:val="1"/>
        </w:numPr>
        <w:spacing w:before="120" w:after="120"/>
      </w:pPr>
      <w:r>
        <w:rPr>
          <w:rFonts w:eastAsiaTheme="minorEastAsia"/>
          <w:color w:val="000000" w:themeColor="text1"/>
          <w:kern w:val="24"/>
        </w:rPr>
        <w:t xml:space="preserve">CAP </w:t>
      </w:r>
    </w:p>
    <w:p w14:paraId="1CA57813" w14:textId="1A618690" w:rsidR="0020659D" w:rsidRPr="000967F7" w:rsidRDefault="0020659D" w:rsidP="00192F1C">
      <w:pPr>
        <w:pStyle w:val="ListParagraph"/>
        <w:numPr>
          <w:ilvl w:val="2"/>
          <w:numId w:val="1"/>
        </w:numPr>
        <w:spacing w:before="120" w:after="120"/>
      </w:pPr>
      <w:r>
        <w:rPr>
          <w:rFonts w:eastAsiaTheme="minorEastAsia"/>
          <w:color w:val="000000" w:themeColor="text1"/>
          <w:kern w:val="24"/>
        </w:rPr>
        <w:t>AMP PGx working group</w:t>
      </w:r>
    </w:p>
    <w:p w14:paraId="2A73F27E" w14:textId="5B7F3A60" w:rsidR="000967F7" w:rsidRDefault="000967F7" w:rsidP="00192F1C">
      <w:pPr>
        <w:pStyle w:val="ListParagraph"/>
        <w:numPr>
          <w:ilvl w:val="2"/>
          <w:numId w:val="1"/>
        </w:numPr>
        <w:spacing w:before="120" w:after="120"/>
      </w:pPr>
      <w:r>
        <w:rPr>
          <w:rFonts w:eastAsiaTheme="minorEastAsia"/>
          <w:color w:val="000000" w:themeColor="text1"/>
          <w:kern w:val="24"/>
        </w:rPr>
        <w:t>AACC</w:t>
      </w:r>
      <w:bookmarkStart w:id="0" w:name="_GoBack"/>
      <w:bookmarkEnd w:id="0"/>
    </w:p>
    <w:p w14:paraId="247BCA56" w14:textId="588250C5" w:rsidR="0020659D" w:rsidRDefault="0037693D" w:rsidP="00E00D6D">
      <w:pPr>
        <w:pStyle w:val="ListParagraph"/>
        <w:numPr>
          <w:ilvl w:val="2"/>
          <w:numId w:val="1"/>
        </w:numPr>
        <w:spacing w:before="120" w:after="120"/>
      </w:pPr>
      <w:r w:rsidRPr="000967F7">
        <w:rPr>
          <w:rFonts w:eastAsiaTheme="minorEastAsia"/>
          <w:color w:val="000000" w:themeColor="text1"/>
          <w:kern w:val="24"/>
        </w:rPr>
        <w:t>Other gene/disease specific resources (</w:t>
      </w:r>
      <w:r w:rsidRPr="000967F7">
        <w:rPr>
          <w:rFonts w:eastAsiaTheme="minorEastAsia"/>
          <w:i/>
          <w:iCs/>
          <w:color w:val="000000" w:themeColor="text1"/>
          <w:kern w:val="24"/>
        </w:rPr>
        <w:t xml:space="preserve">e.g., </w:t>
      </w:r>
      <w:r w:rsidRPr="000967F7">
        <w:rPr>
          <w:rFonts w:eastAsiaTheme="minorEastAsia"/>
          <w:color w:val="000000" w:themeColor="text1"/>
          <w:kern w:val="24"/>
        </w:rPr>
        <w:t>G6PD WHO working group, European Malignant Hyperthermia Group, etc)</w:t>
      </w:r>
    </w:p>
    <w:p w14:paraId="5C5FE87F" w14:textId="421CBB38" w:rsidR="0037693D" w:rsidRPr="0037693D" w:rsidRDefault="0037693D" w:rsidP="00192F1C">
      <w:pPr>
        <w:pStyle w:val="ListParagraph"/>
        <w:numPr>
          <w:ilvl w:val="1"/>
          <w:numId w:val="1"/>
        </w:numPr>
        <w:spacing w:before="120" w:after="120"/>
      </w:pPr>
      <w:r>
        <w:rPr>
          <w:rFonts w:eastAsiaTheme="minorEastAsia"/>
          <w:color w:val="000000" w:themeColor="text1"/>
          <w:kern w:val="24"/>
        </w:rPr>
        <w:t>Others as determined by guideline authors</w:t>
      </w:r>
    </w:p>
    <w:p w14:paraId="095586B5" w14:textId="77777777" w:rsidR="0037693D" w:rsidRPr="0037693D" w:rsidRDefault="0037693D" w:rsidP="0037693D">
      <w:pPr>
        <w:pStyle w:val="ListParagraph"/>
        <w:spacing w:line="216" w:lineRule="auto"/>
        <w:ind w:left="1440"/>
      </w:pPr>
    </w:p>
    <w:p w14:paraId="5DF85483" w14:textId="5C54AB2B" w:rsidR="0037693D" w:rsidRPr="0037693D" w:rsidRDefault="0037693D" w:rsidP="00192F1C">
      <w:pPr>
        <w:numPr>
          <w:ilvl w:val="0"/>
          <w:numId w:val="1"/>
        </w:numPr>
        <w:spacing w:before="120" w:after="120" w:line="240" w:lineRule="auto"/>
        <w:rPr>
          <w:rFonts w:ascii="Times New Roman" w:hAnsi="Times New Roman" w:cs="Times New Roman"/>
          <w:sz w:val="24"/>
          <w:szCs w:val="24"/>
        </w:rPr>
      </w:pPr>
      <w:r w:rsidRPr="0037693D">
        <w:rPr>
          <w:rFonts w:ascii="Times New Roman" w:hAnsi="Times New Roman" w:cs="Times New Roman"/>
          <w:b/>
          <w:bCs/>
          <w:sz w:val="24"/>
          <w:szCs w:val="24"/>
        </w:rPr>
        <w:t>PGx expert panel</w:t>
      </w:r>
    </w:p>
    <w:p w14:paraId="1ACF1696" w14:textId="00EC6037" w:rsidR="0037693D" w:rsidRPr="0037693D" w:rsidRDefault="0037693D" w:rsidP="00192F1C">
      <w:pPr>
        <w:numPr>
          <w:ilvl w:val="1"/>
          <w:numId w:val="1"/>
        </w:numPr>
        <w:spacing w:before="120" w:after="120" w:line="240" w:lineRule="auto"/>
        <w:rPr>
          <w:rFonts w:ascii="Times New Roman" w:hAnsi="Times New Roman" w:cs="Times New Roman"/>
          <w:sz w:val="24"/>
          <w:szCs w:val="24"/>
        </w:rPr>
      </w:pPr>
      <w:r w:rsidRPr="0037693D">
        <w:rPr>
          <w:rFonts w:ascii="Times New Roman" w:hAnsi="Times New Roman" w:cs="Times New Roman"/>
          <w:sz w:val="24"/>
          <w:szCs w:val="24"/>
        </w:rPr>
        <w:t>Clinician with a working knowledge of pharmacogenetics (pharmacists, physicians, nurses, genetic counselors, etc).</w:t>
      </w:r>
    </w:p>
    <w:p w14:paraId="15A228AD" w14:textId="78094482" w:rsidR="0037693D" w:rsidRPr="0037693D" w:rsidRDefault="0037693D" w:rsidP="00192F1C">
      <w:pPr>
        <w:numPr>
          <w:ilvl w:val="1"/>
          <w:numId w:val="1"/>
        </w:numPr>
        <w:spacing w:before="120" w:after="120" w:line="240" w:lineRule="auto"/>
        <w:rPr>
          <w:rFonts w:ascii="Times New Roman" w:hAnsi="Times New Roman" w:cs="Times New Roman"/>
          <w:sz w:val="24"/>
          <w:szCs w:val="24"/>
        </w:rPr>
      </w:pPr>
      <w:r w:rsidRPr="0037693D">
        <w:rPr>
          <w:rFonts w:ascii="Times New Roman" w:hAnsi="Times New Roman" w:cs="Times New Roman"/>
          <w:sz w:val="24"/>
          <w:szCs w:val="24"/>
        </w:rPr>
        <w:t>Researcher with at least 2 years of PGx research experience</w:t>
      </w:r>
    </w:p>
    <w:p w14:paraId="08FF2076" w14:textId="23A95689" w:rsidR="0037693D" w:rsidRPr="0037693D" w:rsidRDefault="0037693D" w:rsidP="00192F1C">
      <w:pPr>
        <w:numPr>
          <w:ilvl w:val="1"/>
          <w:numId w:val="1"/>
        </w:numPr>
        <w:spacing w:before="120" w:after="120" w:line="240" w:lineRule="auto"/>
        <w:rPr>
          <w:rFonts w:ascii="Times New Roman" w:hAnsi="Times New Roman" w:cs="Times New Roman"/>
          <w:sz w:val="24"/>
          <w:szCs w:val="24"/>
        </w:rPr>
      </w:pPr>
      <w:r w:rsidRPr="0037693D">
        <w:rPr>
          <w:rFonts w:ascii="Times New Roman" w:hAnsi="Times New Roman" w:cs="Times New Roman"/>
          <w:sz w:val="24"/>
          <w:szCs w:val="24"/>
        </w:rPr>
        <w:t>Clinical laboratory scientist or staff with at least 2 years of PGx experience</w:t>
      </w:r>
    </w:p>
    <w:p w14:paraId="3E8CF767" w14:textId="6066D942" w:rsidR="0037693D" w:rsidRDefault="0037693D" w:rsidP="00192F1C">
      <w:pPr>
        <w:numPr>
          <w:ilvl w:val="1"/>
          <w:numId w:val="1"/>
        </w:numPr>
        <w:spacing w:before="120" w:after="120" w:line="240" w:lineRule="auto"/>
        <w:rPr>
          <w:rFonts w:ascii="Times New Roman" w:hAnsi="Times New Roman" w:cs="Times New Roman"/>
          <w:sz w:val="24"/>
          <w:szCs w:val="24"/>
        </w:rPr>
      </w:pPr>
      <w:r w:rsidRPr="0037693D">
        <w:rPr>
          <w:rFonts w:ascii="Times New Roman" w:hAnsi="Times New Roman" w:cs="Times New Roman"/>
          <w:sz w:val="24"/>
          <w:szCs w:val="24"/>
        </w:rPr>
        <w:t>EHR standards expert/medical informatic (PGx experience not required but involvement in HL7 or similar experience preferred)</w:t>
      </w:r>
    </w:p>
    <w:p w14:paraId="76E36F98" w14:textId="2647DF3A" w:rsidR="0037693D" w:rsidRDefault="0037693D" w:rsidP="0037693D">
      <w:pPr>
        <w:spacing w:line="216" w:lineRule="auto"/>
        <w:rPr>
          <w:rFonts w:ascii="Times New Roman" w:hAnsi="Times New Roman" w:cs="Times New Roman"/>
          <w:sz w:val="24"/>
          <w:szCs w:val="24"/>
        </w:rPr>
      </w:pPr>
    </w:p>
    <w:p w14:paraId="1C6283EE" w14:textId="0B011AA2" w:rsidR="0037693D" w:rsidRPr="0037693D" w:rsidRDefault="00192F1C" w:rsidP="0037693D">
      <w:pPr>
        <w:spacing w:line="216" w:lineRule="auto"/>
        <w:rPr>
          <w:rFonts w:ascii="Times New Roman" w:hAnsi="Times New Roman" w:cs="Times New Roman"/>
          <w:sz w:val="24"/>
          <w:szCs w:val="24"/>
        </w:rPr>
      </w:pPr>
      <w:r>
        <w:rPr>
          <w:noProof/>
        </w:rPr>
        <w:lastRenderedPageBreak/>
        <w:drawing>
          <wp:anchor distT="0" distB="0" distL="114300" distR="114300" simplePos="0" relativeHeight="251658240" behindDoc="0" locked="0" layoutInCell="1" allowOverlap="1" wp14:anchorId="05761AF3" wp14:editId="0B862606">
            <wp:simplePos x="0" y="0"/>
            <wp:positionH relativeFrom="column">
              <wp:posOffset>495300</wp:posOffset>
            </wp:positionH>
            <wp:positionV relativeFrom="paragraph">
              <wp:posOffset>220980</wp:posOffset>
            </wp:positionV>
            <wp:extent cx="4572000" cy="33693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4572000" cy="3369310"/>
                    </a:xfrm>
                    <a:prstGeom prst="rect">
                      <a:avLst/>
                    </a:prstGeom>
                  </pic:spPr>
                </pic:pic>
              </a:graphicData>
            </a:graphic>
            <wp14:sizeRelH relativeFrom="margin">
              <wp14:pctWidth>0</wp14:pctWidth>
            </wp14:sizeRelH>
            <wp14:sizeRelV relativeFrom="margin">
              <wp14:pctHeight>0</wp14:pctHeight>
            </wp14:sizeRelV>
          </wp:anchor>
        </w:drawing>
      </w:r>
      <w:r w:rsidR="0037693D" w:rsidRPr="0037693D">
        <w:rPr>
          <w:rFonts w:ascii="Times New Roman" w:hAnsi="Times New Roman" w:cs="Times New Roman"/>
          <w:b/>
          <w:bCs/>
          <w:sz w:val="24"/>
          <w:szCs w:val="24"/>
        </w:rPr>
        <w:t>Process for consensus:</w:t>
      </w:r>
      <w:r w:rsidR="00DB69CD" w:rsidRPr="00DB69CD">
        <w:rPr>
          <w:noProof/>
        </w:rPr>
        <w:t xml:space="preserve"> </w:t>
      </w:r>
    </w:p>
    <w:p w14:paraId="389ECCFC" w14:textId="77777777" w:rsidR="0037693D" w:rsidRDefault="0037693D" w:rsidP="0037693D">
      <w:pPr>
        <w:spacing w:line="216" w:lineRule="auto"/>
        <w:sectPr w:rsidR="0037693D">
          <w:pgSz w:w="12240" w:h="15840"/>
          <w:pgMar w:top="1440" w:right="1440" w:bottom="1440" w:left="1440" w:header="720" w:footer="720" w:gutter="0"/>
          <w:cols w:space="720"/>
          <w:docGrid w:linePitch="360"/>
        </w:sectPr>
      </w:pPr>
    </w:p>
    <w:p w14:paraId="20D45E45" w14:textId="2F69DAF1" w:rsidR="0037693D" w:rsidRPr="0037693D" w:rsidRDefault="0037693D" w:rsidP="0037693D">
      <w:pPr>
        <w:spacing w:line="216" w:lineRule="auto"/>
        <w:rPr>
          <w:rFonts w:ascii="Times New Roman" w:hAnsi="Times New Roman" w:cs="Times New Roman"/>
          <w:b/>
          <w:bCs/>
          <w:sz w:val="24"/>
          <w:szCs w:val="24"/>
        </w:rPr>
      </w:pPr>
      <w:r w:rsidRPr="0037693D">
        <w:rPr>
          <w:rFonts w:ascii="Times New Roman" w:hAnsi="Times New Roman" w:cs="Times New Roman"/>
          <w:b/>
          <w:bCs/>
          <w:sz w:val="24"/>
          <w:szCs w:val="24"/>
        </w:rPr>
        <w:t>*Evaluation of current terminologies</w:t>
      </w:r>
    </w:p>
    <w:p w14:paraId="3B6E5050" w14:textId="77777777" w:rsidR="0037693D" w:rsidRPr="0037693D" w:rsidRDefault="0037693D" w:rsidP="0037693D">
      <w:pPr>
        <w:pStyle w:val="ListParagraph"/>
        <w:numPr>
          <w:ilvl w:val="0"/>
          <w:numId w:val="3"/>
        </w:numPr>
        <w:spacing w:line="216" w:lineRule="auto"/>
      </w:pPr>
      <w:r w:rsidRPr="0037693D">
        <w:rPr>
          <w:rFonts w:eastAsiaTheme="minorEastAsia"/>
          <w:color w:val="000000" w:themeColor="text1"/>
          <w:kern w:val="24"/>
        </w:rPr>
        <w:t>Gene/Disease expert panel will review all current terminology in the following resources:</w:t>
      </w:r>
    </w:p>
    <w:p w14:paraId="120BCF14" w14:textId="77777777" w:rsidR="0037693D" w:rsidRPr="0037693D" w:rsidRDefault="0037693D" w:rsidP="0037693D">
      <w:pPr>
        <w:pStyle w:val="ListParagraph"/>
        <w:numPr>
          <w:ilvl w:val="1"/>
          <w:numId w:val="3"/>
        </w:numPr>
        <w:spacing w:line="216" w:lineRule="auto"/>
      </w:pPr>
      <w:r w:rsidRPr="0037693D">
        <w:rPr>
          <w:rFonts w:eastAsiaTheme="minorEastAsia"/>
          <w:color w:val="000000" w:themeColor="text1"/>
          <w:kern w:val="24"/>
        </w:rPr>
        <w:t>ClinGen</w:t>
      </w:r>
    </w:p>
    <w:p w14:paraId="6A13E6B7" w14:textId="77777777" w:rsidR="0037693D" w:rsidRPr="0037693D" w:rsidRDefault="0037693D" w:rsidP="0037693D">
      <w:pPr>
        <w:pStyle w:val="ListParagraph"/>
        <w:numPr>
          <w:ilvl w:val="1"/>
          <w:numId w:val="3"/>
        </w:numPr>
        <w:spacing w:line="216" w:lineRule="auto"/>
      </w:pPr>
      <w:r w:rsidRPr="0037693D">
        <w:rPr>
          <w:rFonts w:eastAsiaTheme="minorEastAsia"/>
          <w:color w:val="000000" w:themeColor="text1"/>
          <w:kern w:val="24"/>
        </w:rPr>
        <w:t>ClinVar</w:t>
      </w:r>
    </w:p>
    <w:p w14:paraId="1886DA04" w14:textId="77777777" w:rsidR="0037693D" w:rsidRPr="0037693D" w:rsidRDefault="0037693D" w:rsidP="0037693D">
      <w:pPr>
        <w:pStyle w:val="ListParagraph"/>
        <w:numPr>
          <w:ilvl w:val="1"/>
          <w:numId w:val="3"/>
        </w:numPr>
        <w:spacing w:line="216" w:lineRule="auto"/>
      </w:pPr>
      <w:r w:rsidRPr="0037693D">
        <w:rPr>
          <w:rFonts w:eastAsiaTheme="minorEastAsia"/>
          <w:color w:val="000000" w:themeColor="text1"/>
          <w:kern w:val="24"/>
        </w:rPr>
        <w:t>FDA</w:t>
      </w:r>
    </w:p>
    <w:p w14:paraId="086695A3" w14:textId="77777777" w:rsidR="0037693D" w:rsidRPr="0037693D" w:rsidRDefault="0037693D" w:rsidP="0037693D">
      <w:pPr>
        <w:pStyle w:val="ListParagraph"/>
        <w:numPr>
          <w:ilvl w:val="1"/>
          <w:numId w:val="3"/>
        </w:numPr>
        <w:spacing w:line="216" w:lineRule="auto"/>
      </w:pPr>
      <w:r w:rsidRPr="0037693D">
        <w:rPr>
          <w:rFonts w:eastAsiaTheme="minorEastAsia"/>
          <w:color w:val="000000" w:themeColor="text1"/>
          <w:kern w:val="24"/>
        </w:rPr>
        <w:t>ACMG</w:t>
      </w:r>
    </w:p>
    <w:p w14:paraId="62873AF2" w14:textId="77777777" w:rsidR="0037693D" w:rsidRPr="0037693D" w:rsidRDefault="0037693D" w:rsidP="0037693D">
      <w:pPr>
        <w:pStyle w:val="ListParagraph"/>
        <w:numPr>
          <w:ilvl w:val="1"/>
          <w:numId w:val="3"/>
        </w:numPr>
        <w:spacing w:line="216" w:lineRule="auto"/>
      </w:pPr>
      <w:r w:rsidRPr="0037693D">
        <w:rPr>
          <w:rFonts w:eastAsiaTheme="minorEastAsia"/>
          <w:color w:val="000000" w:themeColor="text1"/>
          <w:kern w:val="24"/>
        </w:rPr>
        <w:t>LOINC</w:t>
      </w:r>
    </w:p>
    <w:p w14:paraId="78ED409C" w14:textId="77777777" w:rsidR="0037693D" w:rsidRPr="0037693D" w:rsidRDefault="0037693D" w:rsidP="0037693D">
      <w:pPr>
        <w:pStyle w:val="ListParagraph"/>
        <w:numPr>
          <w:ilvl w:val="1"/>
          <w:numId w:val="3"/>
        </w:numPr>
        <w:spacing w:line="216" w:lineRule="auto"/>
      </w:pPr>
      <w:r w:rsidRPr="0037693D">
        <w:rPr>
          <w:rFonts w:eastAsiaTheme="minorEastAsia"/>
          <w:color w:val="000000" w:themeColor="text1"/>
          <w:kern w:val="24"/>
        </w:rPr>
        <w:t>SNOMED</w:t>
      </w:r>
    </w:p>
    <w:p w14:paraId="40D493B0" w14:textId="77777777" w:rsidR="0037693D" w:rsidRPr="0037693D" w:rsidRDefault="0037693D" w:rsidP="0037693D">
      <w:pPr>
        <w:pStyle w:val="ListParagraph"/>
        <w:numPr>
          <w:ilvl w:val="1"/>
          <w:numId w:val="3"/>
        </w:numPr>
        <w:spacing w:line="216" w:lineRule="auto"/>
      </w:pPr>
      <w:r w:rsidRPr="0037693D">
        <w:rPr>
          <w:rFonts w:eastAsiaTheme="minorEastAsia"/>
          <w:color w:val="000000" w:themeColor="text1"/>
          <w:kern w:val="24"/>
        </w:rPr>
        <w:t>Other gene/disease specific resources</w:t>
      </w:r>
    </w:p>
    <w:p w14:paraId="363299E2" w14:textId="77777777" w:rsidR="0037693D" w:rsidRPr="0037693D" w:rsidRDefault="0037693D" w:rsidP="0037693D">
      <w:pPr>
        <w:pStyle w:val="ListParagraph"/>
        <w:numPr>
          <w:ilvl w:val="1"/>
          <w:numId w:val="3"/>
        </w:numPr>
        <w:spacing w:line="216" w:lineRule="auto"/>
      </w:pPr>
      <w:r w:rsidRPr="0037693D">
        <w:rPr>
          <w:rFonts w:eastAsiaTheme="minorEastAsia"/>
          <w:color w:val="000000" w:themeColor="text1"/>
          <w:kern w:val="24"/>
        </w:rPr>
        <w:t>Laboratory reports</w:t>
      </w:r>
    </w:p>
    <w:p w14:paraId="4E464FDD" w14:textId="77777777" w:rsidR="0037693D" w:rsidRPr="0037693D" w:rsidRDefault="0037693D" w:rsidP="0037693D">
      <w:pPr>
        <w:pStyle w:val="ListParagraph"/>
        <w:numPr>
          <w:ilvl w:val="0"/>
          <w:numId w:val="3"/>
        </w:numPr>
        <w:spacing w:line="216" w:lineRule="auto"/>
      </w:pPr>
      <w:r w:rsidRPr="0037693D">
        <w:rPr>
          <w:rFonts w:eastAsiaTheme="minorEastAsia"/>
          <w:color w:val="000000" w:themeColor="text1"/>
          <w:kern w:val="24"/>
        </w:rPr>
        <w:t>Guideline authors will utilize current terminology if/where appropriate. In some cases, disease terminology will not be appropriate if disease phenotype not 1:1 with drug phenotype (</w:t>
      </w:r>
      <w:r w:rsidRPr="0037693D">
        <w:rPr>
          <w:rFonts w:eastAsiaTheme="minorEastAsia"/>
          <w:i/>
          <w:iCs/>
          <w:color w:val="000000" w:themeColor="text1"/>
          <w:kern w:val="24"/>
        </w:rPr>
        <w:t xml:space="preserve">i.e. </w:t>
      </w:r>
      <w:r w:rsidRPr="0037693D">
        <w:rPr>
          <w:rFonts w:eastAsiaTheme="minorEastAsia"/>
          <w:color w:val="000000" w:themeColor="text1"/>
          <w:kern w:val="24"/>
        </w:rPr>
        <w:t>variants that are associated with disease risk are not all associated with drug phenotype and vice versa).</w:t>
      </w:r>
    </w:p>
    <w:p w14:paraId="136BE769" w14:textId="3557172E" w:rsidR="0037693D" w:rsidRDefault="0037693D">
      <w:pPr>
        <w:rPr>
          <w:rFonts w:ascii="Times New Roman" w:hAnsi="Times New Roman" w:cs="Times New Roman"/>
          <w:sz w:val="24"/>
          <w:szCs w:val="24"/>
        </w:rPr>
      </w:pPr>
    </w:p>
    <w:p w14:paraId="69210B89" w14:textId="02414D71" w:rsidR="008227B0" w:rsidRDefault="008227B0">
      <w:pPr>
        <w:rPr>
          <w:rFonts w:ascii="Times New Roman" w:hAnsi="Times New Roman" w:cs="Times New Roman"/>
          <w:sz w:val="24"/>
          <w:szCs w:val="24"/>
        </w:rPr>
      </w:pPr>
    </w:p>
    <w:p w14:paraId="271292D2" w14:textId="7E45C90A" w:rsidR="00EE78A3" w:rsidRPr="00EE78A3" w:rsidRDefault="00EE78A3" w:rsidP="00EE78A3">
      <w:pPr>
        <w:rPr>
          <w:rFonts w:ascii="Times New Roman" w:hAnsi="Times New Roman" w:cs="Times New Roman"/>
          <w:sz w:val="24"/>
          <w:szCs w:val="24"/>
        </w:rPr>
      </w:pPr>
      <w:r w:rsidRPr="00EE78A3">
        <w:rPr>
          <w:rFonts w:ascii="Times New Roman" w:hAnsi="Times New Roman" w:cs="Times New Roman"/>
          <w:sz w:val="24"/>
          <w:szCs w:val="24"/>
        </w:rPr>
        <w:t xml:space="preserve">As we expect to publish these </w:t>
      </w:r>
      <w:r>
        <w:rPr>
          <w:rFonts w:ascii="Times New Roman" w:hAnsi="Times New Roman" w:cs="Times New Roman"/>
          <w:sz w:val="24"/>
          <w:szCs w:val="24"/>
        </w:rPr>
        <w:t xml:space="preserve">methods and the </w:t>
      </w:r>
      <w:r w:rsidRPr="00EE78A3">
        <w:rPr>
          <w:rFonts w:ascii="Times New Roman" w:hAnsi="Times New Roman" w:cs="Times New Roman"/>
          <w:sz w:val="24"/>
          <w:szCs w:val="24"/>
        </w:rPr>
        <w:t>results</w:t>
      </w:r>
      <w:r>
        <w:rPr>
          <w:rFonts w:ascii="Times New Roman" w:hAnsi="Times New Roman" w:cs="Times New Roman"/>
          <w:sz w:val="24"/>
          <w:szCs w:val="24"/>
        </w:rPr>
        <w:t xml:space="preserve"> for the first gene/drug</w:t>
      </w:r>
      <w:r w:rsidRPr="00EE78A3">
        <w:rPr>
          <w:rFonts w:ascii="Times New Roman" w:hAnsi="Times New Roman" w:cs="Times New Roman"/>
          <w:sz w:val="24"/>
          <w:szCs w:val="24"/>
        </w:rPr>
        <w:t xml:space="preserve">, authorship will be given to the subset of panel participants that substantially contribute to coordinating and drafting the surveys, reviewing the literature and laboratory reports for historical terms, and drafting the paper. The </w:t>
      </w:r>
      <w:r>
        <w:rPr>
          <w:rFonts w:ascii="Times New Roman" w:hAnsi="Times New Roman" w:cs="Times New Roman"/>
          <w:sz w:val="24"/>
          <w:szCs w:val="24"/>
        </w:rPr>
        <w:t>PGx experts</w:t>
      </w:r>
      <w:r w:rsidRPr="00EE78A3">
        <w:rPr>
          <w:rFonts w:ascii="Times New Roman" w:hAnsi="Times New Roman" w:cs="Times New Roman"/>
          <w:sz w:val="24"/>
          <w:szCs w:val="24"/>
        </w:rPr>
        <w:t xml:space="preserve"> will be cited in an acknowledgement to any resulting publications.   Similar to the CPIC guideline process a steering committee will be established that will act as the core authorship team.  </w:t>
      </w:r>
    </w:p>
    <w:p w14:paraId="1E4493D0" w14:textId="3DEC234A" w:rsidR="008227B0" w:rsidRPr="0037693D" w:rsidRDefault="008227B0" w:rsidP="00EE78A3">
      <w:pPr>
        <w:rPr>
          <w:rFonts w:ascii="Times New Roman" w:hAnsi="Times New Roman" w:cs="Times New Roman"/>
          <w:sz w:val="24"/>
          <w:szCs w:val="24"/>
        </w:rPr>
      </w:pPr>
    </w:p>
    <w:sectPr w:rsidR="008227B0" w:rsidRPr="003769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96587F"/>
    <w:multiLevelType w:val="hybridMultilevel"/>
    <w:tmpl w:val="6B9A4A72"/>
    <w:lvl w:ilvl="0" w:tplc="69624EAE">
      <w:start w:val="1"/>
      <w:numFmt w:val="bullet"/>
      <w:lvlText w:val="•"/>
      <w:lvlJc w:val="left"/>
      <w:pPr>
        <w:tabs>
          <w:tab w:val="num" w:pos="720"/>
        </w:tabs>
        <w:ind w:left="720" w:hanging="360"/>
      </w:pPr>
      <w:rPr>
        <w:rFonts w:ascii="Arial" w:hAnsi="Arial" w:hint="default"/>
      </w:rPr>
    </w:lvl>
    <w:lvl w:ilvl="1" w:tplc="D1AC63EC">
      <w:numFmt w:val="bullet"/>
      <w:lvlText w:val="•"/>
      <w:lvlJc w:val="left"/>
      <w:pPr>
        <w:tabs>
          <w:tab w:val="num" w:pos="1440"/>
        </w:tabs>
        <w:ind w:left="1440" w:hanging="360"/>
      </w:pPr>
      <w:rPr>
        <w:rFonts w:ascii="Arial" w:hAnsi="Arial" w:hint="default"/>
      </w:rPr>
    </w:lvl>
    <w:lvl w:ilvl="2" w:tplc="C2129CEA" w:tentative="1">
      <w:start w:val="1"/>
      <w:numFmt w:val="bullet"/>
      <w:lvlText w:val="•"/>
      <w:lvlJc w:val="left"/>
      <w:pPr>
        <w:tabs>
          <w:tab w:val="num" w:pos="2160"/>
        </w:tabs>
        <w:ind w:left="2160" w:hanging="360"/>
      </w:pPr>
      <w:rPr>
        <w:rFonts w:ascii="Arial" w:hAnsi="Arial" w:hint="default"/>
      </w:rPr>
    </w:lvl>
    <w:lvl w:ilvl="3" w:tplc="37644A68" w:tentative="1">
      <w:start w:val="1"/>
      <w:numFmt w:val="bullet"/>
      <w:lvlText w:val="•"/>
      <w:lvlJc w:val="left"/>
      <w:pPr>
        <w:tabs>
          <w:tab w:val="num" w:pos="2880"/>
        </w:tabs>
        <w:ind w:left="2880" w:hanging="360"/>
      </w:pPr>
      <w:rPr>
        <w:rFonts w:ascii="Arial" w:hAnsi="Arial" w:hint="default"/>
      </w:rPr>
    </w:lvl>
    <w:lvl w:ilvl="4" w:tplc="F1EA5010" w:tentative="1">
      <w:start w:val="1"/>
      <w:numFmt w:val="bullet"/>
      <w:lvlText w:val="•"/>
      <w:lvlJc w:val="left"/>
      <w:pPr>
        <w:tabs>
          <w:tab w:val="num" w:pos="3600"/>
        </w:tabs>
        <w:ind w:left="3600" w:hanging="360"/>
      </w:pPr>
      <w:rPr>
        <w:rFonts w:ascii="Arial" w:hAnsi="Arial" w:hint="default"/>
      </w:rPr>
    </w:lvl>
    <w:lvl w:ilvl="5" w:tplc="E4148C64" w:tentative="1">
      <w:start w:val="1"/>
      <w:numFmt w:val="bullet"/>
      <w:lvlText w:val="•"/>
      <w:lvlJc w:val="left"/>
      <w:pPr>
        <w:tabs>
          <w:tab w:val="num" w:pos="4320"/>
        </w:tabs>
        <w:ind w:left="4320" w:hanging="360"/>
      </w:pPr>
      <w:rPr>
        <w:rFonts w:ascii="Arial" w:hAnsi="Arial" w:hint="default"/>
      </w:rPr>
    </w:lvl>
    <w:lvl w:ilvl="6" w:tplc="5A000490" w:tentative="1">
      <w:start w:val="1"/>
      <w:numFmt w:val="bullet"/>
      <w:lvlText w:val="•"/>
      <w:lvlJc w:val="left"/>
      <w:pPr>
        <w:tabs>
          <w:tab w:val="num" w:pos="5040"/>
        </w:tabs>
        <w:ind w:left="5040" w:hanging="360"/>
      </w:pPr>
      <w:rPr>
        <w:rFonts w:ascii="Arial" w:hAnsi="Arial" w:hint="default"/>
      </w:rPr>
    </w:lvl>
    <w:lvl w:ilvl="7" w:tplc="5EA08CDE" w:tentative="1">
      <w:start w:val="1"/>
      <w:numFmt w:val="bullet"/>
      <w:lvlText w:val="•"/>
      <w:lvlJc w:val="left"/>
      <w:pPr>
        <w:tabs>
          <w:tab w:val="num" w:pos="5760"/>
        </w:tabs>
        <w:ind w:left="5760" w:hanging="360"/>
      </w:pPr>
      <w:rPr>
        <w:rFonts w:ascii="Arial" w:hAnsi="Arial" w:hint="default"/>
      </w:rPr>
    </w:lvl>
    <w:lvl w:ilvl="8" w:tplc="98569D5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CC867F0"/>
    <w:multiLevelType w:val="hybridMultilevel"/>
    <w:tmpl w:val="707E2DD2"/>
    <w:lvl w:ilvl="0" w:tplc="3BE2C01E">
      <w:start w:val="1"/>
      <w:numFmt w:val="bullet"/>
      <w:lvlText w:val="•"/>
      <w:lvlJc w:val="left"/>
      <w:pPr>
        <w:tabs>
          <w:tab w:val="num" w:pos="720"/>
        </w:tabs>
        <w:ind w:left="720" w:hanging="360"/>
      </w:pPr>
      <w:rPr>
        <w:rFonts w:ascii="Arial" w:hAnsi="Arial" w:hint="default"/>
      </w:rPr>
    </w:lvl>
    <w:lvl w:ilvl="1" w:tplc="D730F146">
      <w:numFmt w:val="bullet"/>
      <w:lvlText w:val="•"/>
      <w:lvlJc w:val="left"/>
      <w:pPr>
        <w:tabs>
          <w:tab w:val="num" w:pos="1440"/>
        </w:tabs>
        <w:ind w:left="1440" w:hanging="360"/>
      </w:pPr>
      <w:rPr>
        <w:rFonts w:ascii="Arial" w:hAnsi="Arial" w:hint="default"/>
      </w:rPr>
    </w:lvl>
    <w:lvl w:ilvl="2" w:tplc="B868F32A">
      <w:numFmt w:val="bullet"/>
      <w:lvlText w:val="•"/>
      <w:lvlJc w:val="left"/>
      <w:pPr>
        <w:tabs>
          <w:tab w:val="num" w:pos="2160"/>
        </w:tabs>
        <w:ind w:left="2160" w:hanging="360"/>
      </w:pPr>
      <w:rPr>
        <w:rFonts w:ascii="Arial" w:hAnsi="Arial" w:hint="default"/>
      </w:rPr>
    </w:lvl>
    <w:lvl w:ilvl="3" w:tplc="4784E40C" w:tentative="1">
      <w:start w:val="1"/>
      <w:numFmt w:val="bullet"/>
      <w:lvlText w:val="•"/>
      <w:lvlJc w:val="left"/>
      <w:pPr>
        <w:tabs>
          <w:tab w:val="num" w:pos="2880"/>
        </w:tabs>
        <w:ind w:left="2880" w:hanging="360"/>
      </w:pPr>
      <w:rPr>
        <w:rFonts w:ascii="Arial" w:hAnsi="Arial" w:hint="default"/>
      </w:rPr>
    </w:lvl>
    <w:lvl w:ilvl="4" w:tplc="3C9A3C80" w:tentative="1">
      <w:start w:val="1"/>
      <w:numFmt w:val="bullet"/>
      <w:lvlText w:val="•"/>
      <w:lvlJc w:val="left"/>
      <w:pPr>
        <w:tabs>
          <w:tab w:val="num" w:pos="3600"/>
        </w:tabs>
        <w:ind w:left="3600" w:hanging="360"/>
      </w:pPr>
      <w:rPr>
        <w:rFonts w:ascii="Arial" w:hAnsi="Arial" w:hint="default"/>
      </w:rPr>
    </w:lvl>
    <w:lvl w:ilvl="5" w:tplc="8D78C4D0" w:tentative="1">
      <w:start w:val="1"/>
      <w:numFmt w:val="bullet"/>
      <w:lvlText w:val="•"/>
      <w:lvlJc w:val="left"/>
      <w:pPr>
        <w:tabs>
          <w:tab w:val="num" w:pos="4320"/>
        </w:tabs>
        <w:ind w:left="4320" w:hanging="360"/>
      </w:pPr>
      <w:rPr>
        <w:rFonts w:ascii="Arial" w:hAnsi="Arial" w:hint="default"/>
      </w:rPr>
    </w:lvl>
    <w:lvl w:ilvl="6" w:tplc="F9B677F2" w:tentative="1">
      <w:start w:val="1"/>
      <w:numFmt w:val="bullet"/>
      <w:lvlText w:val="•"/>
      <w:lvlJc w:val="left"/>
      <w:pPr>
        <w:tabs>
          <w:tab w:val="num" w:pos="5040"/>
        </w:tabs>
        <w:ind w:left="5040" w:hanging="360"/>
      </w:pPr>
      <w:rPr>
        <w:rFonts w:ascii="Arial" w:hAnsi="Arial" w:hint="default"/>
      </w:rPr>
    </w:lvl>
    <w:lvl w:ilvl="7" w:tplc="F710E3EA" w:tentative="1">
      <w:start w:val="1"/>
      <w:numFmt w:val="bullet"/>
      <w:lvlText w:val="•"/>
      <w:lvlJc w:val="left"/>
      <w:pPr>
        <w:tabs>
          <w:tab w:val="num" w:pos="5760"/>
        </w:tabs>
        <w:ind w:left="5760" w:hanging="360"/>
      </w:pPr>
      <w:rPr>
        <w:rFonts w:ascii="Arial" w:hAnsi="Arial" w:hint="default"/>
      </w:rPr>
    </w:lvl>
    <w:lvl w:ilvl="8" w:tplc="4E1050C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CD1236F"/>
    <w:multiLevelType w:val="hybridMultilevel"/>
    <w:tmpl w:val="32AAF544"/>
    <w:lvl w:ilvl="0" w:tplc="BC8A9334">
      <w:start w:val="1"/>
      <w:numFmt w:val="bullet"/>
      <w:lvlText w:val="•"/>
      <w:lvlJc w:val="left"/>
      <w:pPr>
        <w:tabs>
          <w:tab w:val="num" w:pos="720"/>
        </w:tabs>
        <w:ind w:left="720" w:hanging="360"/>
      </w:pPr>
      <w:rPr>
        <w:rFonts w:ascii="Arial" w:hAnsi="Arial" w:hint="default"/>
      </w:rPr>
    </w:lvl>
    <w:lvl w:ilvl="1" w:tplc="A0E054C2">
      <w:numFmt w:val="bullet"/>
      <w:lvlText w:val="•"/>
      <w:lvlJc w:val="left"/>
      <w:pPr>
        <w:tabs>
          <w:tab w:val="num" w:pos="1440"/>
        </w:tabs>
        <w:ind w:left="1440" w:hanging="360"/>
      </w:pPr>
      <w:rPr>
        <w:rFonts w:ascii="Arial" w:hAnsi="Arial" w:hint="default"/>
      </w:rPr>
    </w:lvl>
    <w:lvl w:ilvl="2" w:tplc="0A8872CA" w:tentative="1">
      <w:start w:val="1"/>
      <w:numFmt w:val="bullet"/>
      <w:lvlText w:val="•"/>
      <w:lvlJc w:val="left"/>
      <w:pPr>
        <w:tabs>
          <w:tab w:val="num" w:pos="2160"/>
        </w:tabs>
        <w:ind w:left="2160" w:hanging="360"/>
      </w:pPr>
      <w:rPr>
        <w:rFonts w:ascii="Arial" w:hAnsi="Arial" w:hint="default"/>
      </w:rPr>
    </w:lvl>
    <w:lvl w:ilvl="3" w:tplc="102CA9F6" w:tentative="1">
      <w:start w:val="1"/>
      <w:numFmt w:val="bullet"/>
      <w:lvlText w:val="•"/>
      <w:lvlJc w:val="left"/>
      <w:pPr>
        <w:tabs>
          <w:tab w:val="num" w:pos="2880"/>
        </w:tabs>
        <w:ind w:left="2880" w:hanging="360"/>
      </w:pPr>
      <w:rPr>
        <w:rFonts w:ascii="Arial" w:hAnsi="Arial" w:hint="default"/>
      </w:rPr>
    </w:lvl>
    <w:lvl w:ilvl="4" w:tplc="F5AEBFEE" w:tentative="1">
      <w:start w:val="1"/>
      <w:numFmt w:val="bullet"/>
      <w:lvlText w:val="•"/>
      <w:lvlJc w:val="left"/>
      <w:pPr>
        <w:tabs>
          <w:tab w:val="num" w:pos="3600"/>
        </w:tabs>
        <w:ind w:left="3600" w:hanging="360"/>
      </w:pPr>
      <w:rPr>
        <w:rFonts w:ascii="Arial" w:hAnsi="Arial" w:hint="default"/>
      </w:rPr>
    </w:lvl>
    <w:lvl w:ilvl="5" w:tplc="A87078AA" w:tentative="1">
      <w:start w:val="1"/>
      <w:numFmt w:val="bullet"/>
      <w:lvlText w:val="•"/>
      <w:lvlJc w:val="left"/>
      <w:pPr>
        <w:tabs>
          <w:tab w:val="num" w:pos="4320"/>
        </w:tabs>
        <w:ind w:left="4320" w:hanging="360"/>
      </w:pPr>
      <w:rPr>
        <w:rFonts w:ascii="Arial" w:hAnsi="Arial" w:hint="default"/>
      </w:rPr>
    </w:lvl>
    <w:lvl w:ilvl="6" w:tplc="6E309872" w:tentative="1">
      <w:start w:val="1"/>
      <w:numFmt w:val="bullet"/>
      <w:lvlText w:val="•"/>
      <w:lvlJc w:val="left"/>
      <w:pPr>
        <w:tabs>
          <w:tab w:val="num" w:pos="5040"/>
        </w:tabs>
        <w:ind w:left="5040" w:hanging="360"/>
      </w:pPr>
      <w:rPr>
        <w:rFonts w:ascii="Arial" w:hAnsi="Arial" w:hint="default"/>
      </w:rPr>
    </w:lvl>
    <w:lvl w:ilvl="7" w:tplc="C13EF196" w:tentative="1">
      <w:start w:val="1"/>
      <w:numFmt w:val="bullet"/>
      <w:lvlText w:val="•"/>
      <w:lvlJc w:val="left"/>
      <w:pPr>
        <w:tabs>
          <w:tab w:val="num" w:pos="5760"/>
        </w:tabs>
        <w:ind w:left="5760" w:hanging="360"/>
      </w:pPr>
      <w:rPr>
        <w:rFonts w:ascii="Arial" w:hAnsi="Arial" w:hint="default"/>
      </w:rPr>
    </w:lvl>
    <w:lvl w:ilvl="8" w:tplc="BB066316"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93D"/>
    <w:rsid w:val="000967F7"/>
    <w:rsid w:val="000F3ECF"/>
    <w:rsid w:val="00192F1C"/>
    <w:rsid w:val="0020659D"/>
    <w:rsid w:val="0037693D"/>
    <w:rsid w:val="008227B0"/>
    <w:rsid w:val="00C11E55"/>
    <w:rsid w:val="00DB69CD"/>
    <w:rsid w:val="00EE7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00A0A"/>
  <w15:chartTrackingRefBased/>
  <w15:docId w15:val="{C2DF8FCD-5EFC-4843-BC55-4FC767916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93D"/>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065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5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327189">
      <w:bodyDiv w:val="1"/>
      <w:marLeft w:val="0"/>
      <w:marRight w:val="0"/>
      <w:marTop w:val="0"/>
      <w:marBottom w:val="0"/>
      <w:divBdr>
        <w:top w:val="none" w:sz="0" w:space="0" w:color="auto"/>
        <w:left w:val="none" w:sz="0" w:space="0" w:color="auto"/>
        <w:bottom w:val="none" w:sz="0" w:space="0" w:color="auto"/>
        <w:right w:val="none" w:sz="0" w:space="0" w:color="auto"/>
      </w:divBdr>
      <w:divsChild>
        <w:div w:id="1173031744">
          <w:marLeft w:val="360"/>
          <w:marRight w:val="0"/>
          <w:marTop w:val="200"/>
          <w:marBottom w:val="0"/>
          <w:divBdr>
            <w:top w:val="none" w:sz="0" w:space="0" w:color="auto"/>
            <w:left w:val="none" w:sz="0" w:space="0" w:color="auto"/>
            <w:bottom w:val="none" w:sz="0" w:space="0" w:color="auto"/>
            <w:right w:val="none" w:sz="0" w:space="0" w:color="auto"/>
          </w:divBdr>
        </w:div>
        <w:div w:id="1935436732">
          <w:marLeft w:val="1080"/>
          <w:marRight w:val="0"/>
          <w:marTop w:val="100"/>
          <w:marBottom w:val="0"/>
          <w:divBdr>
            <w:top w:val="none" w:sz="0" w:space="0" w:color="auto"/>
            <w:left w:val="none" w:sz="0" w:space="0" w:color="auto"/>
            <w:bottom w:val="none" w:sz="0" w:space="0" w:color="auto"/>
            <w:right w:val="none" w:sz="0" w:space="0" w:color="auto"/>
          </w:divBdr>
        </w:div>
        <w:div w:id="763577985">
          <w:marLeft w:val="1080"/>
          <w:marRight w:val="0"/>
          <w:marTop w:val="100"/>
          <w:marBottom w:val="0"/>
          <w:divBdr>
            <w:top w:val="none" w:sz="0" w:space="0" w:color="auto"/>
            <w:left w:val="none" w:sz="0" w:space="0" w:color="auto"/>
            <w:bottom w:val="none" w:sz="0" w:space="0" w:color="auto"/>
            <w:right w:val="none" w:sz="0" w:space="0" w:color="auto"/>
          </w:divBdr>
        </w:div>
        <w:div w:id="101844405">
          <w:marLeft w:val="1080"/>
          <w:marRight w:val="0"/>
          <w:marTop w:val="100"/>
          <w:marBottom w:val="0"/>
          <w:divBdr>
            <w:top w:val="none" w:sz="0" w:space="0" w:color="auto"/>
            <w:left w:val="none" w:sz="0" w:space="0" w:color="auto"/>
            <w:bottom w:val="none" w:sz="0" w:space="0" w:color="auto"/>
            <w:right w:val="none" w:sz="0" w:space="0" w:color="auto"/>
          </w:divBdr>
        </w:div>
        <w:div w:id="160703484">
          <w:marLeft w:val="1080"/>
          <w:marRight w:val="0"/>
          <w:marTop w:val="100"/>
          <w:marBottom w:val="0"/>
          <w:divBdr>
            <w:top w:val="none" w:sz="0" w:space="0" w:color="auto"/>
            <w:left w:val="none" w:sz="0" w:space="0" w:color="auto"/>
            <w:bottom w:val="none" w:sz="0" w:space="0" w:color="auto"/>
            <w:right w:val="none" w:sz="0" w:space="0" w:color="auto"/>
          </w:divBdr>
        </w:div>
        <w:div w:id="293101119">
          <w:marLeft w:val="1080"/>
          <w:marRight w:val="0"/>
          <w:marTop w:val="100"/>
          <w:marBottom w:val="0"/>
          <w:divBdr>
            <w:top w:val="none" w:sz="0" w:space="0" w:color="auto"/>
            <w:left w:val="none" w:sz="0" w:space="0" w:color="auto"/>
            <w:bottom w:val="none" w:sz="0" w:space="0" w:color="auto"/>
            <w:right w:val="none" w:sz="0" w:space="0" w:color="auto"/>
          </w:divBdr>
        </w:div>
        <w:div w:id="1149783640">
          <w:marLeft w:val="1080"/>
          <w:marRight w:val="0"/>
          <w:marTop w:val="100"/>
          <w:marBottom w:val="0"/>
          <w:divBdr>
            <w:top w:val="none" w:sz="0" w:space="0" w:color="auto"/>
            <w:left w:val="none" w:sz="0" w:space="0" w:color="auto"/>
            <w:bottom w:val="none" w:sz="0" w:space="0" w:color="auto"/>
            <w:right w:val="none" w:sz="0" w:space="0" w:color="auto"/>
          </w:divBdr>
        </w:div>
        <w:div w:id="1900364990">
          <w:marLeft w:val="1080"/>
          <w:marRight w:val="0"/>
          <w:marTop w:val="100"/>
          <w:marBottom w:val="0"/>
          <w:divBdr>
            <w:top w:val="none" w:sz="0" w:space="0" w:color="auto"/>
            <w:left w:val="none" w:sz="0" w:space="0" w:color="auto"/>
            <w:bottom w:val="none" w:sz="0" w:space="0" w:color="auto"/>
            <w:right w:val="none" w:sz="0" w:space="0" w:color="auto"/>
          </w:divBdr>
        </w:div>
        <w:div w:id="765612813">
          <w:marLeft w:val="1080"/>
          <w:marRight w:val="0"/>
          <w:marTop w:val="100"/>
          <w:marBottom w:val="0"/>
          <w:divBdr>
            <w:top w:val="none" w:sz="0" w:space="0" w:color="auto"/>
            <w:left w:val="none" w:sz="0" w:space="0" w:color="auto"/>
            <w:bottom w:val="none" w:sz="0" w:space="0" w:color="auto"/>
            <w:right w:val="none" w:sz="0" w:space="0" w:color="auto"/>
          </w:divBdr>
        </w:div>
        <w:div w:id="399063578">
          <w:marLeft w:val="360"/>
          <w:marRight w:val="0"/>
          <w:marTop w:val="200"/>
          <w:marBottom w:val="0"/>
          <w:divBdr>
            <w:top w:val="none" w:sz="0" w:space="0" w:color="auto"/>
            <w:left w:val="none" w:sz="0" w:space="0" w:color="auto"/>
            <w:bottom w:val="none" w:sz="0" w:space="0" w:color="auto"/>
            <w:right w:val="none" w:sz="0" w:space="0" w:color="auto"/>
          </w:divBdr>
        </w:div>
      </w:divsChild>
    </w:div>
    <w:div w:id="833565861">
      <w:bodyDiv w:val="1"/>
      <w:marLeft w:val="0"/>
      <w:marRight w:val="0"/>
      <w:marTop w:val="0"/>
      <w:marBottom w:val="0"/>
      <w:divBdr>
        <w:top w:val="none" w:sz="0" w:space="0" w:color="auto"/>
        <w:left w:val="none" w:sz="0" w:space="0" w:color="auto"/>
        <w:bottom w:val="none" w:sz="0" w:space="0" w:color="auto"/>
        <w:right w:val="none" w:sz="0" w:space="0" w:color="auto"/>
      </w:divBdr>
      <w:divsChild>
        <w:div w:id="433287602">
          <w:marLeft w:val="360"/>
          <w:marRight w:val="0"/>
          <w:marTop w:val="200"/>
          <w:marBottom w:val="0"/>
          <w:divBdr>
            <w:top w:val="none" w:sz="0" w:space="0" w:color="auto"/>
            <w:left w:val="none" w:sz="0" w:space="0" w:color="auto"/>
            <w:bottom w:val="none" w:sz="0" w:space="0" w:color="auto"/>
            <w:right w:val="none" w:sz="0" w:space="0" w:color="auto"/>
          </w:divBdr>
        </w:div>
        <w:div w:id="802380735">
          <w:marLeft w:val="1080"/>
          <w:marRight w:val="0"/>
          <w:marTop w:val="100"/>
          <w:marBottom w:val="0"/>
          <w:divBdr>
            <w:top w:val="none" w:sz="0" w:space="0" w:color="auto"/>
            <w:left w:val="none" w:sz="0" w:space="0" w:color="auto"/>
            <w:bottom w:val="none" w:sz="0" w:space="0" w:color="auto"/>
            <w:right w:val="none" w:sz="0" w:space="0" w:color="auto"/>
          </w:divBdr>
        </w:div>
        <w:div w:id="1973974372">
          <w:marLeft w:val="1080"/>
          <w:marRight w:val="0"/>
          <w:marTop w:val="100"/>
          <w:marBottom w:val="0"/>
          <w:divBdr>
            <w:top w:val="none" w:sz="0" w:space="0" w:color="auto"/>
            <w:left w:val="none" w:sz="0" w:space="0" w:color="auto"/>
            <w:bottom w:val="none" w:sz="0" w:space="0" w:color="auto"/>
            <w:right w:val="none" w:sz="0" w:space="0" w:color="auto"/>
          </w:divBdr>
        </w:div>
        <w:div w:id="873539965">
          <w:marLeft w:val="1800"/>
          <w:marRight w:val="0"/>
          <w:marTop w:val="100"/>
          <w:marBottom w:val="0"/>
          <w:divBdr>
            <w:top w:val="none" w:sz="0" w:space="0" w:color="auto"/>
            <w:left w:val="none" w:sz="0" w:space="0" w:color="auto"/>
            <w:bottom w:val="none" w:sz="0" w:space="0" w:color="auto"/>
            <w:right w:val="none" w:sz="0" w:space="0" w:color="auto"/>
          </w:divBdr>
        </w:div>
        <w:div w:id="681711290">
          <w:marLeft w:val="1800"/>
          <w:marRight w:val="0"/>
          <w:marTop w:val="100"/>
          <w:marBottom w:val="0"/>
          <w:divBdr>
            <w:top w:val="none" w:sz="0" w:space="0" w:color="auto"/>
            <w:left w:val="none" w:sz="0" w:space="0" w:color="auto"/>
            <w:bottom w:val="none" w:sz="0" w:space="0" w:color="auto"/>
            <w:right w:val="none" w:sz="0" w:space="0" w:color="auto"/>
          </w:divBdr>
        </w:div>
        <w:div w:id="624775169">
          <w:marLeft w:val="1800"/>
          <w:marRight w:val="0"/>
          <w:marTop w:val="100"/>
          <w:marBottom w:val="0"/>
          <w:divBdr>
            <w:top w:val="none" w:sz="0" w:space="0" w:color="auto"/>
            <w:left w:val="none" w:sz="0" w:space="0" w:color="auto"/>
            <w:bottom w:val="none" w:sz="0" w:space="0" w:color="auto"/>
            <w:right w:val="none" w:sz="0" w:space="0" w:color="auto"/>
          </w:divBdr>
        </w:div>
        <w:div w:id="1634362146">
          <w:marLeft w:val="1800"/>
          <w:marRight w:val="0"/>
          <w:marTop w:val="100"/>
          <w:marBottom w:val="0"/>
          <w:divBdr>
            <w:top w:val="none" w:sz="0" w:space="0" w:color="auto"/>
            <w:left w:val="none" w:sz="0" w:space="0" w:color="auto"/>
            <w:bottom w:val="none" w:sz="0" w:space="0" w:color="auto"/>
            <w:right w:val="none" w:sz="0" w:space="0" w:color="auto"/>
          </w:divBdr>
        </w:div>
        <w:div w:id="1342126089">
          <w:marLeft w:val="1800"/>
          <w:marRight w:val="0"/>
          <w:marTop w:val="100"/>
          <w:marBottom w:val="0"/>
          <w:divBdr>
            <w:top w:val="none" w:sz="0" w:space="0" w:color="auto"/>
            <w:left w:val="none" w:sz="0" w:space="0" w:color="auto"/>
            <w:bottom w:val="none" w:sz="0" w:space="0" w:color="auto"/>
            <w:right w:val="none" w:sz="0" w:space="0" w:color="auto"/>
          </w:divBdr>
        </w:div>
        <w:div w:id="2056732588">
          <w:marLeft w:val="360"/>
          <w:marRight w:val="0"/>
          <w:marTop w:val="200"/>
          <w:marBottom w:val="0"/>
          <w:divBdr>
            <w:top w:val="none" w:sz="0" w:space="0" w:color="auto"/>
            <w:left w:val="none" w:sz="0" w:space="0" w:color="auto"/>
            <w:bottom w:val="none" w:sz="0" w:space="0" w:color="auto"/>
            <w:right w:val="none" w:sz="0" w:space="0" w:color="auto"/>
          </w:divBdr>
        </w:div>
      </w:divsChild>
    </w:div>
    <w:div w:id="921179147">
      <w:bodyDiv w:val="1"/>
      <w:marLeft w:val="0"/>
      <w:marRight w:val="0"/>
      <w:marTop w:val="0"/>
      <w:marBottom w:val="0"/>
      <w:divBdr>
        <w:top w:val="none" w:sz="0" w:space="0" w:color="auto"/>
        <w:left w:val="none" w:sz="0" w:space="0" w:color="auto"/>
        <w:bottom w:val="none" w:sz="0" w:space="0" w:color="auto"/>
        <w:right w:val="none" w:sz="0" w:space="0" w:color="auto"/>
      </w:divBdr>
      <w:divsChild>
        <w:div w:id="1251154985">
          <w:marLeft w:val="360"/>
          <w:marRight w:val="0"/>
          <w:marTop w:val="200"/>
          <w:marBottom w:val="0"/>
          <w:divBdr>
            <w:top w:val="none" w:sz="0" w:space="0" w:color="auto"/>
            <w:left w:val="none" w:sz="0" w:space="0" w:color="auto"/>
            <w:bottom w:val="none" w:sz="0" w:space="0" w:color="auto"/>
            <w:right w:val="none" w:sz="0" w:space="0" w:color="auto"/>
          </w:divBdr>
        </w:div>
        <w:div w:id="455686846">
          <w:marLeft w:val="1080"/>
          <w:marRight w:val="0"/>
          <w:marTop w:val="100"/>
          <w:marBottom w:val="0"/>
          <w:divBdr>
            <w:top w:val="none" w:sz="0" w:space="0" w:color="auto"/>
            <w:left w:val="none" w:sz="0" w:space="0" w:color="auto"/>
            <w:bottom w:val="none" w:sz="0" w:space="0" w:color="auto"/>
            <w:right w:val="none" w:sz="0" w:space="0" w:color="auto"/>
          </w:divBdr>
        </w:div>
        <w:div w:id="369230517">
          <w:marLeft w:val="1080"/>
          <w:marRight w:val="0"/>
          <w:marTop w:val="100"/>
          <w:marBottom w:val="0"/>
          <w:divBdr>
            <w:top w:val="none" w:sz="0" w:space="0" w:color="auto"/>
            <w:left w:val="none" w:sz="0" w:space="0" w:color="auto"/>
            <w:bottom w:val="none" w:sz="0" w:space="0" w:color="auto"/>
            <w:right w:val="none" w:sz="0" w:space="0" w:color="auto"/>
          </w:divBdr>
        </w:div>
        <w:div w:id="104272720">
          <w:marLeft w:val="1080"/>
          <w:marRight w:val="0"/>
          <w:marTop w:val="100"/>
          <w:marBottom w:val="0"/>
          <w:divBdr>
            <w:top w:val="none" w:sz="0" w:space="0" w:color="auto"/>
            <w:left w:val="none" w:sz="0" w:space="0" w:color="auto"/>
            <w:bottom w:val="none" w:sz="0" w:space="0" w:color="auto"/>
            <w:right w:val="none" w:sz="0" w:space="0" w:color="auto"/>
          </w:divBdr>
        </w:div>
        <w:div w:id="911310731">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Caudle, Kelly</dc:creator>
  <cp:keywords/>
  <dc:description/>
  <cp:lastModifiedBy>Caudle, Kelly</cp:lastModifiedBy>
  <cp:revision>7</cp:revision>
  <dcterms:created xsi:type="dcterms:W3CDTF">2020-12-08T20:23:00Z</dcterms:created>
  <dcterms:modified xsi:type="dcterms:W3CDTF">2020-12-10T22:04:00Z</dcterms:modified>
</cp:coreProperties>
</file>