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713FCA3"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CC5706">
        <w:rPr>
          <w:rFonts w:ascii="Times New Roman" w:hAnsi="Times New Roman"/>
          <w:sz w:val="24"/>
          <w:szCs w:val="24"/>
        </w:rPr>
        <w:t>November 4,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738B71D6" w:rsidR="0064790C" w:rsidRDefault="00CC5706" w:rsidP="0064790C">
            <w:pPr>
              <w:widowControl/>
              <w:rPr>
                <w:rFonts w:ascii="Times New Roman" w:hAnsi="Times New Roman"/>
                <w:sz w:val="24"/>
                <w:szCs w:val="24"/>
              </w:rPr>
            </w:pPr>
            <w:r>
              <w:rPr>
                <w:rFonts w:ascii="Times New Roman" w:hAnsi="Times New Roman"/>
                <w:sz w:val="24"/>
                <w:szCs w:val="24"/>
              </w:rPr>
              <w:t>G6PD guideline update</w:t>
            </w:r>
          </w:p>
        </w:tc>
        <w:tc>
          <w:tcPr>
            <w:tcW w:w="7462" w:type="dxa"/>
            <w:tcBorders>
              <w:top w:val="single" w:sz="6" w:space="0" w:color="000000"/>
              <w:left w:val="single" w:sz="6" w:space="0" w:color="000000"/>
              <w:bottom w:val="single" w:sz="6" w:space="0" w:color="000000"/>
              <w:right w:val="single" w:sz="6" w:space="0" w:color="000000"/>
            </w:tcBorders>
          </w:tcPr>
          <w:p w14:paraId="4F2713C7" w14:textId="1DDB4C59" w:rsidR="00731877" w:rsidRDefault="00CC5706" w:rsidP="0064790C">
            <w:pPr>
              <w:widowControl/>
              <w:rPr>
                <w:rFonts w:ascii="Times New Roman" w:hAnsi="Times New Roman"/>
                <w:sz w:val="24"/>
                <w:szCs w:val="24"/>
              </w:rPr>
            </w:pPr>
            <w:r>
              <w:rPr>
                <w:rFonts w:ascii="Times New Roman" w:hAnsi="Times New Roman"/>
                <w:sz w:val="24"/>
                <w:szCs w:val="24"/>
              </w:rPr>
              <w:t>Mary presented the status of the G6PD guideline update.</w:t>
            </w:r>
            <w:r w:rsidR="006725B7">
              <w:rPr>
                <w:rFonts w:ascii="Times New Roman" w:hAnsi="Times New Roman"/>
                <w:sz w:val="24"/>
                <w:szCs w:val="24"/>
              </w:rPr>
              <w:t xml:space="preserve"> While the 2014 G6PD guideline focused on rasburicase, the guideline update will include many more drugs.</w:t>
            </w:r>
            <w:r>
              <w:rPr>
                <w:rFonts w:ascii="Times New Roman" w:hAnsi="Times New Roman"/>
                <w:sz w:val="24"/>
                <w:szCs w:val="24"/>
              </w:rPr>
              <w:t xml:space="preserve"> </w:t>
            </w:r>
            <w:r w:rsidR="00B77708">
              <w:rPr>
                <w:rFonts w:ascii="Times New Roman" w:hAnsi="Times New Roman"/>
                <w:sz w:val="24"/>
                <w:szCs w:val="24"/>
              </w:rPr>
              <w:t>Historically, many drugs have been classified as conferring increased risk of acute hemolytic anemia (AHA) in patients with G6PD deficiency. These classifications may be conflicting</w:t>
            </w:r>
            <w:r w:rsidR="007914AA">
              <w:rPr>
                <w:rFonts w:ascii="Times New Roman" w:hAnsi="Times New Roman"/>
                <w:sz w:val="24"/>
                <w:szCs w:val="24"/>
              </w:rPr>
              <w:t xml:space="preserve"> depending on the source</w:t>
            </w:r>
            <w:r w:rsidR="00B77708">
              <w:rPr>
                <w:rFonts w:ascii="Times New Roman" w:hAnsi="Times New Roman"/>
                <w:sz w:val="24"/>
                <w:szCs w:val="24"/>
              </w:rPr>
              <w:t xml:space="preserve">, and evidence may be sparce. </w:t>
            </w:r>
            <w:r w:rsidR="00B50A76">
              <w:rPr>
                <w:rFonts w:ascii="Times New Roman" w:hAnsi="Times New Roman"/>
                <w:sz w:val="24"/>
                <w:szCs w:val="24"/>
              </w:rPr>
              <w:t>The authors conducted an extensive literature review on 48 drugs that have been associated with G6PD deficiency by one or more sources</w:t>
            </w:r>
            <w:r w:rsidR="007914AA">
              <w:rPr>
                <w:rFonts w:ascii="Times New Roman" w:hAnsi="Times New Roman"/>
                <w:sz w:val="24"/>
                <w:szCs w:val="24"/>
              </w:rPr>
              <w:t xml:space="preserve"> (e.g., regulatory agency labeling)</w:t>
            </w:r>
            <w:r w:rsidR="00B50A76">
              <w:rPr>
                <w:rFonts w:ascii="Times New Roman" w:hAnsi="Times New Roman"/>
                <w:sz w:val="24"/>
                <w:szCs w:val="24"/>
              </w:rPr>
              <w:t xml:space="preserve">. These drugs have been classified as high, medium, or low-to-no risk for </w:t>
            </w:r>
            <w:r w:rsidR="00B77708">
              <w:rPr>
                <w:rFonts w:ascii="Times New Roman" w:hAnsi="Times New Roman"/>
                <w:sz w:val="24"/>
                <w:szCs w:val="24"/>
              </w:rPr>
              <w:t>AHA</w:t>
            </w:r>
            <w:r w:rsidR="00B50A76">
              <w:rPr>
                <w:rFonts w:ascii="Times New Roman" w:hAnsi="Times New Roman"/>
                <w:sz w:val="24"/>
                <w:szCs w:val="24"/>
              </w:rPr>
              <w:t xml:space="preserve"> in the setting of G6PD deficiency</w:t>
            </w:r>
            <w:r w:rsidR="007B6631">
              <w:rPr>
                <w:rFonts w:ascii="Times New Roman" w:hAnsi="Times New Roman"/>
                <w:sz w:val="24"/>
                <w:szCs w:val="24"/>
              </w:rPr>
              <w:t xml:space="preserve"> based on the systematic </w:t>
            </w:r>
            <w:r w:rsidR="00A71591">
              <w:rPr>
                <w:rFonts w:ascii="Times New Roman" w:hAnsi="Times New Roman"/>
                <w:sz w:val="24"/>
                <w:szCs w:val="24"/>
              </w:rPr>
              <w:t>literature</w:t>
            </w:r>
            <w:r w:rsidR="007B6631">
              <w:rPr>
                <w:rFonts w:ascii="Times New Roman" w:hAnsi="Times New Roman"/>
                <w:sz w:val="24"/>
                <w:szCs w:val="24"/>
              </w:rPr>
              <w:t xml:space="preserve"> review</w:t>
            </w:r>
            <w:r w:rsidR="00B50A76">
              <w:rPr>
                <w:rFonts w:ascii="Times New Roman" w:hAnsi="Times New Roman"/>
                <w:sz w:val="24"/>
                <w:szCs w:val="24"/>
              </w:rPr>
              <w:t xml:space="preserve">. </w:t>
            </w:r>
            <w:r w:rsidR="007914AA">
              <w:rPr>
                <w:rFonts w:ascii="Times New Roman" w:hAnsi="Times New Roman"/>
                <w:sz w:val="24"/>
                <w:szCs w:val="24"/>
              </w:rPr>
              <w:t xml:space="preserve">High risk drugs should be avoided in G6PD deficiency, medium risk drugs should be used with caution in G6PD deficiency, and low-to-no risk drugs can be used without regard to G6PD status. </w:t>
            </w:r>
            <w:r w:rsidR="00B50A76">
              <w:rPr>
                <w:rFonts w:ascii="Times New Roman" w:hAnsi="Times New Roman"/>
                <w:sz w:val="24"/>
                <w:szCs w:val="24"/>
              </w:rPr>
              <w:t xml:space="preserve">Some drugs were assigned ‘no recommendation’ because of a complete lack of published evidence for the association. </w:t>
            </w:r>
          </w:p>
        </w:tc>
        <w:tc>
          <w:tcPr>
            <w:tcW w:w="4132" w:type="dxa"/>
            <w:tcBorders>
              <w:top w:val="single" w:sz="6" w:space="0" w:color="000000"/>
              <w:left w:val="single" w:sz="6" w:space="0" w:color="000000"/>
              <w:bottom w:val="single" w:sz="6" w:space="0" w:color="000000"/>
              <w:right w:val="single" w:sz="6" w:space="0" w:color="000000"/>
            </w:tcBorders>
          </w:tcPr>
          <w:p w14:paraId="292E9621" w14:textId="55E05DE1" w:rsidR="0064790C" w:rsidRPr="000F4665" w:rsidRDefault="00383730"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The G6PD guideline authors will work towards finalizing the guideline recommendations and manuscript. </w:t>
            </w:r>
          </w:p>
        </w:tc>
      </w:tr>
    </w:tbl>
    <w:p w14:paraId="2FDD7B49" w14:textId="4448AEBA" w:rsidR="0054698C" w:rsidRDefault="0054698C"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363F99A" w14:textId="1D6B4F3B"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49506C9B" w14:textId="2D63407D"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53ADCE81" w14:textId="4DD81590"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98A7" w14:textId="77777777" w:rsidR="008849D1" w:rsidRDefault="008849D1" w:rsidP="00E00679">
      <w:r>
        <w:separator/>
      </w:r>
    </w:p>
  </w:endnote>
  <w:endnote w:type="continuationSeparator" w:id="0">
    <w:p w14:paraId="0EB51CD0" w14:textId="77777777" w:rsidR="008849D1" w:rsidRDefault="008849D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833D" w14:textId="77777777" w:rsidR="008849D1" w:rsidRDefault="008849D1" w:rsidP="00E00679">
      <w:r>
        <w:separator/>
      </w:r>
    </w:p>
  </w:footnote>
  <w:footnote w:type="continuationSeparator" w:id="0">
    <w:p w14:paraId="609EF8D2" w14:textId="77777777" w:rsidR="008849D1" w:rsidRDefault="008849D1"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
  </w:num>
  <w:num w:numId="6">
    <w:abstractNumId w:val="5"/>
  </w:num>
  <w:num w:numId="7">
    <w:abstractNumId w:val="3"/>
  </w:num>
  <w:num w:numId="8">
    <w:abstractNumId w:val="12"/>
  </w:num>
  <w:num w:numId="9">
    <w:abstractNumId w:val="10"/>
  </w:num>
  <w:num w:numId="10">
    <w:abstractNumId w:val="9"/>
  </w:num>
  <w:num w:numId="11">
    <w:abstractNumId w:val="0"/>
  </w:num>
  <w:num w:numId="12">
    <w:abstractNumId w:val="11"/>
  </w:num>
  <w:num w:numId="13">
    <w:abstractNumId w:val="4"/>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1877"/>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49D1"/>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7BB"/>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B6D"/>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01EB"/>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2021-11-09T20:23:00Z</dcterms:created>
  <dcterms:modified xsi:type="dcterms:W3CDTF">2021-11-09T20:23:00Z</dcterms:modified>
</cp:coreProperties>
</file>