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0C69" w14:textId="0CEC29B8" w:rsidR="000B4336" w:rsidRDefault="000B4336" w:rsidP="000962E5">
      <w:pPr>
        <w:pStyle w:val="Heading1"/>
        <w:jc w:val="center"/>
      </w:pPr>
      <w:r>
        <w:t>Other users of CPIC guidelines and Media mentions</w:t>
      </w:r>
    </w:p>
    <w:p w14:paraId="1EF2597D" w14:textId="706DE9F7" w:rsidR="002B00AE" w:rsidRPr="000B4336" w:rsidRDefault="002B00AE" w:rsidP="000962E5">
      <w:pPr>
        <w:pStyle w:val="Heading1"/>
      </w:pPr>
      <w:r w:rsidRPr="000B4336">
        <w:t>Table 1. Organizations using CPIC guidelines as of July 2022</w:t>
      </w:r>
    </w:p>
    <w:tbl>
      <w:tblPr>
        <w:tblStyle w:val="TableGrid"/>
        <w:tblW w:w="13045" w:type="dxa"/>
        <w:tblLook w:val="04A0" w:firstRow="1" w:lastRow="0" w:firstColumn="1" w:lastColumn="0" w:noHBand="0" w:noVBand="1"/>
      </w:tblPr>
      <w:tblGrid>
        <w:gridCol w:w="5575"/>
        <w:gridCol w:w="7470"/>
      </w:tblGrid>
      <w:tr w:rsidR="002B00AE" w:rsidRPr="002B00AE" w14:paraId="15AEA0D3" w14:textId="77777777" w:rsidTr="000962E5">
        <w:trPr>
          <w:trHeight w:val="360"/>
        </w:trPr>
        <w:tc>
          <w:tcPr>
            <w:tcW w:w="5575" w:type="dxa"/>
            <w:noWrap/>
            <w:hideMark/>
          </w:tcPr>
          <w:p w14:paraId="2CEDD542"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Organization</w:t>
            </w:r>
          </w:p>
        </w:tc>
        <w:tc>
          <w:tcPr>
            <w:tcW w:w="7470" w:type="dxa"/>
            <w:noWrap/>
            <w:hideMark/>
          </w:tcPr>
          <w:p w14:paraId="3B1AFED2"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usage</w:t>
            </w:r>
          </w:p>
        </w:tc>
      </w:tr>
      <w:tr w:rsidR="002B00AE" w:rsidRPr="002B00AE" w14:paraId="173753C5" w14:textId="77777777" w:rsidTr="000962E5">
        <w:trPr>
          <w:trHeight w:val="465"/>
        </w:trPr>
        <w:tc>
          <w:tcPr>
            <w:tcW w:w="5575" w:type="dxa"/>
            <w:hideMark/>
          </w:tcPr>
          <w:p w14:paraId="675C6CA8"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American Association for Clinical Chemistry</w:t>
            </w:r>
          </w:p>
        </w:tc>
        <w:tc>
          <w:tcPr>
            <w:tcW w:w="7470" w:type="dxa"/>
            <w:hideMark/>
          </w:tcPr>
          <w:p w14:paraId="5FC15719" w14:textId="2300350A"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education</w:t>
            </w:r>
          </w:p>
        </w:tc>
      </w:tr>
      <w:tr w:rsidR="002B00AE" w:rsidRPr="002B00AE" w14:paraId="4006C563" w14:textId="77777777" w:rsidTr="000962E5">
        <w:trPr>
          <w:trHeight w:val="360"/>
        </w:trPr>
        <w:tc>
          <w:tcPr>
            <w:tcW w:w="5575" w:type="dxa"/>
            <w:noWrap/>
            <w:hideMark/>
          </w:tcPr>
          <w:p w14:paraId="40955F71"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AMP-Association of Molecular Pathologists</w:t>
            </w:r>
          </w:p>
        </w:tc>
        <w:tc>
          <w:tcPr>
            <w:tcW w:w="7470" w:type="dxa"/>
            <w:noWrap/>
            <w:hideMark/>
          </w:tcPr>
          <w:p w14:paraId="3D7B58B4"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xml:space="preserve"> Defining a Minimum Set of Variants that should be included in Genotyping assays</w:t>
            </w:r>
          </w:p>
        </w:tc>
      </w:tr>
      <w:tr w:rsidR="002B00AE" w:rsidRPr="002B00AE" w14:paraId="2975DBF0" w14:textId="77777777" w:rsidTr="000962E5">
        <w:trPr>
          <w:trHeight w:val="360"/>
        </w:trPr>
        <w:tc>
          <w:tcPr>
            <w:tcW w:w="5575" w:type="dxa"/>
            <w:noWrap/>
            <w:hideMark/>
          </w:tcPr>
          <w:p w14:paraId="5ECF3231"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xml:space="preserve">ASCPT-American Society for Clinical Pharmacology and Therapeutics </w:t>
            </w:r>
          </w:p>
        </w:tc>
        <w:tc>
          <w:tcPr>
            <w:tcW w:w="7470" w:type="dxa"/>
            <w:noWrap/>
            <w:hideMark/>
          </w:tcPr>
          <w:p w14:paraId="4DC569BA"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ASCPT endorses CPIC guidelines</w:t>
            </w:r>
          </w:p>
        </w:tc>
      </w:tr>
      <w:tr w:rsidR="002B00AE" w:rsidRPr="002B00AE" w14:paraId="0AF144F7" w14:textId="77777777" w:rsidTr="000962E5">
        <w:trPr>
          <w:trHeight w:val="360"/>
        </w:trPr>
        <w:tc>
          <w:tcPr>
            <w:tcW w:w="5575" w:type="dxa"/>
            <w:noWrap/>
            <w:hideMark/>
          </w:tcPr>
          <w:p w14:paraId="29835816"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xml:space="preserve">ASHP-American Society of Health-System Pharmacists </w:t>
            </w:r>
          </w:p>
        </w:tc>
        <w:tc>
          <w:tcPr>
            <w:tcW w:w="7470" w:type="dxa"/>
            <w:noWrap/>
            <w:hideMark/>
          </w:tcPr>
          <w:p w14:paraId="2ED70BED"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included in Pgen toolkit; included as endorsed documents</w:t>
            </w:r>
          </w:p>
        </w:tc>
      </w:tr>
      <w:tr w:rsidR="002B00AE" w:rsidRPr="002B00AE" w14:paraId="57EB4B67" w14:textId="77777777" w:rsidTr="000962E5">
        <w:trPr>
          <w:trHeight w:val="360"/>
        </w:trPr>
        <w:tc>
          <w:tcPr>
            <w:tcW w:w="5575" w:type="dxa"/>
            <w:noWrap/>
            <w:hideMark/>
          </w:tcPr>
          <w:p w14:paraId="64EF5E3E"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CAP College of American Pathologists</w:t>
            </w:r>
          </w:p>
        </w:tc>
        <w:tc>
          <w:tcPr>
            <w:tcW w:w="7470" w:type="dxa"/>
            <w:noWrap/>
            <w:hideMark/>
          </w:tcPr>
          <w:p w14:paraId="4DFF584C"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"CAP applauds and supports the objectives, processes and work completed…by CPIC"; creates standards with AMP based on CPIC variants</w:t>
            </w:r>
          </w:p>
        </w:tc>
      </w:tr>
      <w:tr w:rsidR="002B00AE" w:rsidRPr="002B00AE" w14:paraId="07A7EA69" w14:textId="77777777" w:rsidTr="000962E5">
        <w:trPr>
          <w:trHeight w:val="360"/>
        </w:trPr>
        <w:tc>
          <w:tcPr>
            <w:tcW w:w="5575" w:type="dxa"/>
            <w:noWrap/>
            <w:hideMark/>
          </w:tcPr>
          <w:p w14:paraId="78B8888E"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Cerner</w:t>
            </w:r>
          </w:p>
        </w:tc>
        <w:tc>
          <w:tcPr>
            <w:tcW w:w="7470" w:type="dxa"/>
            <w:noWrap/>
            <w:hideMark/>
          </w:tcPr>
          <w:p w14:paraId="5A5B9D21"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nomenclature</w:t>
            </w:r>
          </w:p>
        </w:tc>
      </w:tr>
      <w:tr w:rsidR="002B00AE" w:rsidRPr="002B00AE" w14:paraId="2B503E24" w14:textId="77777777" w:rsidTr="000962E5">
        <w:trPr>
          <w:trHeight w:val="360"/>
        </w:trPr>
        <w:tc>
          <w:tcPr>
            <w:tcW w:w="5575" w:type="dxa"/>
            <w:noWrap/>
            <w:hideMark/>
          </w:tcPr>
          <w:p w14:paraId="4FD87571"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ClinGen</w:t>
            </w:r>
          </w:p>
        </w:tc>
        <w:tc>
          <w:tcPr>
            <w:tcW w:w="7470" w:type="dxa"/>
            <w:noWrap/>
            <w:hideMark/>
          </w:tcPr>
          <w:p w14:paraId="3E1E4BD7"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ClinGen relies on CPIC and PharmGKB as sources for expertly curated pharmacogenetic knowledge and links to CPIC guidelines.</w:t>
            </w:r>
          </w:p>
        </w:tc>
      </w:tr>
      <w:tr w:rsidR="002B00AE" w:rsidRPr="002B00AE" w14:paraId="419F3D6F" w14:textId="77777777" w:rsidTr="000962E5">
        <w:trPr>
          <w:trHeight w:val="360"/>
        </w:trPr>
        <w:tc>
          <w:tcPr>
            <w:tcW w:w="5575" w:type="dxa"/>
            <w:hideMark/>
          </w:tcPr>
          <w:p w14:paraId="406CA60C"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Clinical Decision Support Knowledgebase (CDS_KB)</w:t>
            </w:r>
          </w:p>
        </w:tc>
        <w:tc>
          <w:tcPr>
            <w:tcW w:w="7470" w:type="dxa"/>
            <w:hideMark/>
          </w:tcPr>
          <w:p w14:paraId="232AF254"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60D1291C" w14:textId="77777777" w:rsidTr="000962E5">
        <w:trPr>
          <w:trHeight w:val="360"/>
        </w:trPr>
        <w:tc>
          <w:tcPr>
            <w:tcW w:w="5575" w:type="dxa"/>
            <w:hideMark/>
          </w:tcPr>
          <w:p w14:paraId="150498A7"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ClinVar</w:t>
            </w:r>
          </w:p>
        </w:tc>
        <w:tc>
          <w:tcPr>
            <w:tcW w:w="7470" w:type="dxa"/>
            <w:hideMark/>
          </w:tcPr>
          <w:p w14:paraId="6C610386"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4A56E34B" w14:textId="77777777" w:rsidTr="000962E5">
        <w:trPr>
          <w:trHeight w:val="360"/>
        </w:trPr>
        <w:tc>
          <w:tcPr>
            <w:tcW w:w="5575" w:type="dxa"/>
            <w:noWrap/>
            <w:hideMark/>
          </w:tcPr>
          <w:p w14:paraId="5322F3B5"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Elsevier; Clinical Key and Clinical Skills</w:t>
            </w:r>
          </w:p>
        </w:tc>
        <w:tc>
          <w:tcPr>
            <w:tcW w:w="7470" w:type="dxa"/>
            <w:noWrap/>
            <w:hideMark/>
          </w:tcPr>
          <w:p w14:paraId="7EEC4D1A"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both reference CPIC</w:t>
            </w:r>
          </w:p>
        </w:tc>
      </w:tr>
      <w:tr w:rsidR="002B00AE" w:rsidRPr="002B00AE" w14:paraId="2D651B4F" w14:textId="77777777" w:rsidTr="000962E5">
        <w:trPr>
          <w:trHeight w:val="360"/>
        </w:trPr>
        <w:tc>
          <w:tcPr>
            <w:tcW w:w="5575" w:type="dxa"/>
            <w:noWrap/>
            <w:hideMark/>
          </w:tcPr>
          <w:p w14:paraId="025A900A"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EPIC</w:t>
            </w:r>
          </w:p>
        </w:tc>
        <w:tc>
          <w:tcPr>
            <w:tcW w:w="7470" w:type="dxa"/>
            <w:noWrap/>
            <w:hideMark/>
          </w:tcPr>
          <w:p w14:paraId="6754704D"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EPIC galaxy</w:t>
            </w:r>
          </w:p>
        </w:tc>
      </w:tr>
      <w:tr w:rsidR="002B00AE" w:rsidRPr="002B00AE" w14:paraId="4D516F5F" w14:textId="77777777" w:rsidTr="000962E5">
        <w:trPr>
          <w:trHeight w:val="360"/>
        </w:trPr>
        <w:tc>
          <w:tcPr>
            <w:tcW w:w="5575" w:type="dxa"/>
            <w:hideMark/>
          </w:tcPr>
          <w:p w14:paraId="1AD56E4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G2C2 Genetics/Genomics Competency Center for Education</w:t>
            </w:r>
          </w:p>
        </w:tc>
        <w:tc>
          <w:tcPr>
            <w:tcW w:w="7470" w:type="dxa"/>
            <w:hideMark/>
          </w:tcPr>
          <w:p w14:paraId="08F5808E"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2C984348" w14:textId="77777777" w:rsidTr="000962E5">
        <w:trPr>
          <w:trHeight w:val="360"/>
        </w:trPr>
        <w:tc>
          <w:tcPr>
            <w:tcW w:w="5575" w:type="dxa"/>
            <w:hideMark/>
          </w:tcPr>
          <w:p w14:paraId="482A7AA9"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G2MC</w:t>
            </w:r>
          </w:p>
        </w:tc>
        <w:tc>
          <w:tcPr>
            <w:tcW w:w="7470" w:type="dxa"/>
            <w:hideMark/>
          </w:tcPr>
          <w:p w14:paraId="20B0757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1B6FF4B7" w14:textId="77777777" w:rsidTr="000962E5">
        <w:trPr>
          <w:trHeight w:val="360"/>
        </w:trPr>
        <w:tc>
          <w:tcPr>
            <w:tcW w:w="5575" w:type="dxa"/>
            <w:noWrap/>
            <w:hideMark/>
          </w:tcPr>
          <w:p w14:paraId="6859F932"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GTR--Genetic Test Registry</w:t>
            </w:r>
          </w:p>
        </w:tc>
        <w:tc>
          <w:tcPr>
            <w:tcW w:w="7470" w:type="dxa"/>
            <w:noWrap/>
            <w:hideMark/>
          </w:tcPr>
          <w:p w14:paraId="5EB9DD69"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CPIC provides summaries for pharmacogenes</w:t>
            </w:r>
          </w:p>
        </w:tc>
      </w:tr>
      <w:tr w:rsidR="002B00AE" w:rsidRPr="002B00AE" w14:paraId="1BB85154" w14:textId="77777777" w:rsidTr="000962E5">
        <w:trPr>
          <w:trHeight w:val="360"/>
        </w:trPr>
        <w:tc>
          <w:tcPr>
            <w:tcW w:w="5575" w:type="dxa"/>
            <w:noWrap/>
            <w:hideMark/>
          </w:tcPr>
          <w:p w14:paraId="310BD5B7"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Illumina</w:t>
            </w:r>
          </w:p>
        </w:tc>
        <w:tc>
          <w:tcPr>
            <w:tcW w:w="7470" w:type="dxa"/>
            <w:noWrap/>
            <w:hideMark/>
          </w:tcPr>
          <w:p w14:paraId="2E12A107" w14:textId="77777777" w:rsidR="002B00AE" w:rsidRPr="002B00AE" w:rsidRDefault="000962E5" w:rsidP="002B00AE">
            <w:pPr>
              <w:rPr>
                <w:rFonts w:ascii="Times New Roman" w:eastAsia="Times New Roman" w:hAnsi="Times New Roman" w:cs="Times New Roman"/>
                <w:color w:val="1155CC"/>
                <w:sz w:val="24"/>
                <w:szCs w:val="24"/>
                <w:u w:val="single"/>
                <w:lang w:val="en-US"/>
              </w:rPr>
            </w:pPr>
            <w:hyperlink r:id="rId4" w:history="1">
              <w:r w:rsidR="002B00AE" w:rsidRPr="002B00AE">
                <w:rPr>
                  <w:rFonts w:ascii="Times New Roman" w:eastAsia="Times New Roman" w:hAnsi="Times New Roman" w:cs="Times New Roman"/>
                  <w:color w:val="1155CC"/>
                  <w:sz w:val="24"/>
                  <w:szCs w:val="24"/>
                  <w:u w:val="single"/>
                  <w:lang w:val="en-US"/>
                </w:rPr>
                <w:t xml:space="preserve">https://www.illumina.com/search.html?q=CPIC&amp;filter=all&amp;p=1  </w:t>
              </w:r>
            </w:hyperlink>
          </w:p>
        </w:tc>
      </w:tr>
      <w:tr w:rsidR="002B00AE" w:rsidRPr="002B00AE" w14:paraId="555A3BA6" w14:textId="77777777" w:rsidTr="000962E5">
        <w:trPr>
          <w:trHeight w:val="360"/>
        </w:trPr>
        <w:tc>
          <w:tcPr>
            <w:tcW w:w="5575" w:type="dxa"/>
            <w:noWrap/>
            <w:hideMark/>
          </w:tcPr>
          <w:p w14:paraId="0914B772"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Lexicomp (Walters Kluwer)</w:t>
            </w:r>
          </w:p>
        </w:tc>
        <w:tc>
          <w:tcPr>
            <w:tcW w:w="7470" w:type="dxa"/>
            <w:noWrap/>
            <w:hideMark/>
          </w:tcPr>
          <w:p w14:paraId="7ACE3F2B"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used to classify drugs that have actionable Pgx</w:t>
            </w:r>
          </w:p>
        </w:tc>
      </w:tr>
      <w:tr w:rsidR="002B00AE" w:rsidRPr="002B00AE" w14:paraId="7B3BE17B" w14:textId="77777777" w:rsidTr="000962E5">
        <w:trPr>
          <w:trHeight w:val="360"/>
        </w:trPr>
        <w:tc>
          <w:tcPr>
            <w:tcW w:w="5575" w:type="dxa"/>
            <w:noWrap/>
            <w:hideMark/>
          </w:tcPr>
          <w:p w14:paraId="01AF1FDB"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McGraw-Hill</w:t>
            </w:r>
          </w:p>
        </w:tc>
        <w:tc>
          <w:tcPr>
            <w:tcW w:w="7470" w:type="dxa"/>
            <w:noWrap/>
            <w:hideMark/>
          </w:tcPr>
          <w:p w14:paraId="3665D227"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access products medicine, nursing, pharmacy</w:t>
            </w:r>
          </w:p>
        </w:tc>
      </w:tr>
      <w:tr w:rsidR="002B00AE" w:rsidRPr="002B00AE" w14:paraId="17CDAC2B" w14:textId="77777777" w:rsidTr="000962E5">
        <w:trPr>
          <w:trHeight w:val="360"/>
        </w:trPr>
        <w:tc>
          <w:tcPr>
            <w:tcW w:w="5575" w:type="dxa"/>
            <w:hideMark/>
          </w:tcPr>
          <w:p w14:paraId="43462F2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lastRenderedPageBreak/>
              <w:t>Medical Observer</w:t>
            </w:r>
          </w:p>
        </w:tc>
        <w:tc>
          <w:tcPr>
            <w:tcW w:w="7470" w:type="dxa"/>
            <w:hideMark/>
          </w:tcPr>
          <w:p w14:paraId="768CEF85"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79987530" w14:textId="77777777" w:rsidTr="000962E5">
        <w:trPr>
          <w:trHeight w:val="360"/>
        </w:trPr>
        <w:tc>
          <w:tcPr>
            <w:tcW w:w="5575" w:type="dxa"/>
            <w:hideMark/>
          </w:tcPr>
          <w:p w14:paraId="4852A1F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Medscape</w:t>
            </w:r>
          </w:p>
        </w:tc>
        <w:tc>
          <w:tcPr>
            <w:tcW w:w="7470" w:type="dxa"/>
            <w:hideMark/>
          </w:tcPr>
          <w:p w14:paraId="251D8C34"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3CF29807" w14:textId="77777777" w:rsidTr="000962E5">
        <w:trPr>
          <w:trHeight w:val="360"/>
        </w:trPr>
        <w:tc>
          <w:tcPr>
            <w:tcW w:w="5575" w:type="dxa"/>
            <w:noWrap/>
            <w:hideMark/>
          </w:tcPr>
          <w:p w14:paraId="68D4AB85" w14:textId="2E4E0025"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Micromedex</w:t>
            </w:r>
          </w:p>
        </w:tc>
        <w:tc>
          <w:tcPr>
            <w:tcW w:w="7470" w:type="dxa"/>
            <w:noWrap/>
            <w:hideMark/>
          </w:tcPr>
          <w:p w14:paraId="41C4FB89"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used as citations for use of individual drugs</w:t>
            </w:r>
          </w:p>
        </w:tc>
      </w:tr>
      <w:tr w:rsidR="002B00AE" w:rsidRPr="002B00AE" w14:paraId="4EFAF2B8" w14:textId="77777777" w:rsidTr="000962E5">
        <w:trPr>
          <w:trHeight w:val="360"/>
        </w:trPr>
        <w:tc>
          <w:tcPr>
            <w:tcW w:w="5575" w:type="dxa"/>
            <w:hideMark/>
          </w:tcPr>
          <w:p w14:paraId="41BF158A"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My Drug Genome</w:t>
            </w:r>
          </w:p>
        </w:tc>
        <w:tc>
          <w:tcPr>
            <w:tcW w:w="7470" w:type="dxa"/>
            <w:hideMark/>
          </w:tcPr>
          <w:p w14:paraId="5AAA3688"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3F1436C6" w14:textId="77777777" w:rsidTr="000962E5">
        <w:trPr>
          <w:trHeight w:val="360"/>
        </w:trPr>
        <w:tc>
          <w:tcPr>
            <w:tcW w:w="5575" w:type="dxa"/>
            <w:noWrap/>
            <w:hideMark/>
          </w:tcPr>
          <w:p w14:paraId="0C3E6B97"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xml:space="preserve">NCCN </w:t>
            </w:r>
          </w:p>
        </w:tc>
        <w:tc>
          <w:tcPr>
            <w:tcW w:w="7470" w:type="dxa"/>
            <w:noWrap/>
            <w:hideMark/>
          </w:tcPr>
          <w:p w14:paraId="51B2452A"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in TPMT guidelines</w:t>
            </w:r>
          </w:p>
        </w:tc>
      </w:tr>
      <w:tr w:rsidR="002B00AE" w:rsidRPr="002B00AE" w14:paraId="3C1FA3EA" w14:textId="77777777" w:rsidTr="000962E5">
        <w:trPr>
          <w:trHeight w:val="360"/>
        </w:trPr>
        <w:tc>
          <w:tcPr>
            <w:tcW w:w="5575" w:type="dxa"/>
            <w:hideMark/>
          </w:tcPr>
          <w:p w14:paraId="05860D98"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Pediatric Pharmacy Advocacy Group</w:t>
            </w:r>
          </w:p>
        </w:tc>
        <w:tc>
          <w:tcPr>
            <w:tcW w:w="7470" w:type="dxa"/>
            <w:hideMark/>
          </w:tcPr>
          <w:p w14:paraId="02C43486"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1EEADA60" w14:textId="77777777" w:rsidTr="000962E5">
        <w:trPr>
          <w:trHeight w:val="360"/>
        </w:trPr>
        <w:tc>
          <w:tcPr>
            <w:tcW w:w="5575" w:type="dxa"/>
            <w:hideMark/>
          </w:tcPr>
          <w:p w14:paraId="24E01A6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PGRN</w:t>
            </w:r>
          </w:p>
        </w:tc>
        <w:tc>
          <w:tcPr>
            <w:tcW w:w="7470" w:type="dxa"/>
            <w:hideMark/>
          </w:tcPr>
          <w:p w14:paraId="4462D74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278B0D72" w14:textId="77777777" w:rsidTr="000962E5">
        <w:trPr>
          <w:trHeight w:val="360"/>
        </w:trPr>
        <w:tc>
          <w:tcPr>
            <w:tcW w:w="5575" w:type="dxa"/>
            <w:noWrap/>
            <w:hideMark/>
          </w:tcPr>
          <w:p w14:paraId="32C86533"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PharmCAT</w:t>
            </w:r>
          </w:p>
        </w:tc>
        <w:tc>
          <w:tcPr>
            <w:tcW w:w="7470" w:type="dxa"/>
            <w:noWrap/>
            <w:hideMark/>
          </w:tcPr>
          <w:p w14:paraId="4CDF2494"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CPIC guidelines used to inform PharmCAT</w:t>
            </w:r>
          </w:p>
        </w:tc>
      </w:tr>
      <w:tr w:rsidR="002B00AE" w:rsidRPr="002B00AE" w14:paraId="5EDFA74E" w14:textId="77777777" w:rsidTr="000962E5">
        <w:trPr>
          <w:trHeight w:val="360"/>
        </w:trPr>
        <w:tc>
          <w:tcPr>
            <w:tcW w:w="5575" w:type="dxa"/>
            <w:noWrap/>
            <w:hideMark/>
          </w:tcPr>
          <w:p w14:paraId="1C8F936D"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PharmGKB</w:t>
            </w:r>
          </w:p>
        </w:tc>
        <w:tc>
          <w:tcPr>
            <w:tcW w:w="7470" w:type="dxa"/>
            <w:noWrap/>
            <w:hideMark/>
          </w:tcPr>
          <w:p w14:paraId="4B177B3D" w14:textId="01685686"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CPIC started as a shared project between </w:t>
            </w:r>
            <w:r w:rsidRPr="002B00AE">
              <w:rPr>
                <w:rFonts w:ascii="Times New Roman" w:eastAsia="Times New Roman" w:hAnsi="Times New Roman" w:cs="Times New Roman"/>
                <w:color w:val="337AB7"/>
                <w:sz w:val="24"/>
                <w:szCs w:val="24"/>
                <w:u w:val="single"/>
                <w:lang w:val="en-US"/>
              </w:rPr>
              <w:t>PharmGKB</w:t>
            </w:r>
            <w:r w:rsidRPr="002B00AE">
              <w:rPr>
                <w:rFonts w:ascii="Times New Roman" w:eastAsia="Times New Roman" w:hAnsi="Times New Roman" w:cs="Times New Roman"/>
                <w:color w:val="000000"/>
                <w:sz w:val="24"/>
                <w:szCs w:val="24"/>
                <w:lang w:val="en-US"/>
              </w:rPr>
              <w:t> and the </w:t>
            </w:r>
            <w:r w:rsidRPr="002B00AE">
              <w:rPr>
                <w:rFonts w:ascii="Times New Roman" w:eastAsia="Times New Roman" w:hAnsi="Times New Roman" w:cs="Times New Roman"/>
                <w:color w:val="70A2CD"/>
                <w:sz w:val="24"/>
                <w:szCs w:val="24"/>
                <w:u w:val="single"/>
                <w:lang w:val="en-US"/>
              </w:rPr>
              <w:t xml:space="preserve">PGRN; </w:t>
            </w:r>
            <w:r w:rsidRPr="002B00AE">
              <w:rPr>
                <w:rFonts w:ascii="Times New Roman" w:eastAsia="Times New Roman" w:hAnsi="Times New Roman" w:cs="Times New Roman"/>
                <w:color w:val="000000"/>
                <w:sz w:val="24"/>
                <w:szCs w:val="24"/>
                <w:lang w:val="en-US"/>
              </w:rPr>
              <w:t>PharmGKB hosts some CPIC content both groups coordinate with each other closely</w:t>
            </w:r>
          </w:p>
        </w:tc>
      </w:tr>
      <w:tr w:rsidR="002B00AE" w:rsidRPr="002B00AE" w14:paraId="0C0BCD32" w14:textId="77777777" w:rsidTr="000962E5">
        <w:trPr>
          <w:trHeight w:val="360"/>
        </w:trPr>
        <w:tc>
          <w:tcPr>
            <w:tcW w:w="5575" w:type="dxa"/>
            <w:noWrap/>
            <w:hideMark/>
          </w:tcPr>
          <w:p w14:paraId="45223480"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PharmVar</w:t>
            </w:r>
          </w:p>
        </w:tc>
        <w:tc>
          <w:tcPr>
            <w:tcW w:w="7470" w:type="dxa"/>
            <w:noWrap/>
            <w:hideMark/>
          </w:tcPr>
          <w:p w14:paraId="4C44F22F"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PharmVar coordinates variant annotation with CPIC</w:t>
            </w:r>
          </w:p>
        </w:tc>
      </w:tr>
      <w:tr w:rsidR="002B00AE" w:rsidRPr="002B00AE" w14:paraId="0311E183" w14:textId="77777777" w:rsidTr="000962E5">
        <w:trPr>
          <w:trHeight w:val="360"/>
        </w:trPr>
        <w:tc>
          <w:tcPr>
            <w:tcW w:w="5575" w:type="dxa"/>
            <w:hideMark/>
          </w:tcPr>
          <w:p w14:paraId="3BCB9BA8"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Regenstrief</w:t>
            </w:r>
          </w:p>
        </w:tc>
        <w:tc>
          <w:tcPr>
            <w:tcW w:w="7470" w:type="dxa"/>
            <w:hideMark/>
          </w:tcPr>
          <w:p w14:paraId="0D1F411E"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59CD308C" w14:textId="77777777" w:rsidTr="000962E5">
        <w:trPr>
          <w:trHeight w:val="360"/>
        </w:trPr>
        <w:tc>
          <w:tcPr>
            <w:tcW w:w="5575" w:type="dxa"/>
            <w:noWrap/>
            <w:hideMark/>
          </w:tcPr>
          <w:p w14:paraId="60050840"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Thermofisher</w:t>
            </w:r>
          </w:p>
        </w:tc>
        <w:tc>
          <w:tcPr>
            <w:tcW w:w="7470" w:type="dxa"/>
            <w:noWrap/>
            <w:hideMark/>
          </w:tcPr>
          <w:p w14:paraId="3C1A58CB" w14:textId="201ABDF3"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e.g. PharmacoScan array Core functional pharmacogenomic content including markers from Clinical Pharmacogenomics Implementation Consortium (CPIC) guidelines</w:t>
            </w:r>
          </w:p>
        </w:tc>
      </w:tr>
      <w:tr w:rsidR="002B00AE" w:rsidRPr="002B00AE" w14:paraId="7C101C3F" w14:textId="77777777" w:rsidTr="000962E5">
        <w:trPr>
          <w:trHeight w:val="360"/>
        </w:trPr>
        <w:tc>
          <w:tcPr>
            <w:tcW w:w="5575" w:type="dxa"/>
            <w:noWrap/>
            <w:hideMark/>
          </w:tcPr>
          <w:p w14:paraId="2FCC4BAB" w14:textId="77777777" w:rsidR="002B00AE" w:rsidRPr="002B00AE" w:rsidRDefault="002B00AE" w:rsidP="002B00AE">
            <w:pPr>
              <w:rPr>
                <w:rFonts w:ascii="Times New Roman" w:eastAsia="Times New Roman" w:hAnsi="Times New Roman" w:cs="Times New Roman"/>
                <w:color w:val="000000"/>
                <w:sz w:val="24"/>
                <w:szCs w:val="24"/>
                <w:lang w:val="en-US"/>
              </w:rPr>
            </w:pPr>
          </w:p>
        </w:tc>
        <w:tc>
          <w:tcPr>
            <w:tcW w:w="7470" w:type="dxa"/>
            <w:noWrap/>
            <w:hideMark/>
          </w:tcPr>
          <w:p w14:paraId="4B7FACAC" w14:textId="77777777" w:rsidR="002B00AE" w:rsidRPr="002B00AE" w:rsidRDefault="002B00AE" w:rsidP="002B00AE">
            <w:pPr>
              <w:rPr>
                <w:rFonts w:ascii="Times New Roman" w:eastAsia="Times New Roman" w:hAnsi="Times New Roman" w:cs="Times New Roman"/>
                <w:sz w:val="24"/>
                <w:szCs w:val="24"/>
                <w:lang w:val="en-US"/>
              </w:rPr>
            </w:pPr>
          </w:p>
        </w:tc>
      </w:tr>
      <w:tr w:rsidR="002B00AE" w:rsidRPr="002B00AE" w14:paraId="11BE30E4" w14:textId="77777777" w:rsidTr="000962E5">
        <w:trPr>
          <w:trHeight w:val="420"/>
        </w:trPr>
        <w:tc>
          <w:tcPr>
            <w:tcW w:w="5575" w:type="dxa"/>
            <w:hideMark/>
          </w:tcPr>
          <w:p w14:paraId="11188DF5"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 xml:space="preserve">U.S. Pharmacist </w:t>
            </w:r>
          </w:p>
        </w:tc>
        <w:tc>
          <w:tcPr>
            <w:tcW w:w="7470" w:type="dxa"/>
            <w:hideMark/>
          </w:tcPr>
          <w:p w14:paraId="760AA739"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CE modules</w:t>
            </w:r>
          </w:p>
        </w:tc>
      </w:tr>
      <w:tr w:rsidR="002B00AE" w:rsidRPr="002B00AE" w14:paraId="47145391" w14:textId="77777777" w:rsidTr="000962E5">
        <w:trPr>
          <w:trHeight w:val="360"/>
        </w:trPr>
        <w:tc>
          <w:tcPr>
            <w:tcW w:w="5575" w:type="dxa"/>
            <w:hideMark/>
          </w:tcPr>
          <w:p w14:paraId="486665FB" w14:textId="3C4276F0"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University Of Minnesota Alliance Institute of Personalized Medicine</w:t>
            </w:r>
          </w:p>
        </w:tc>
        <w:tc>
          <w:tcPr>
            <w:tcW w:w="7470" w:type="dxa"/>
            <w:hideMark/>
          </w:tcPr>
          <w:p w14:paraId="1B632F25"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r w:rsidR="002B00AE" w:rsidRPr="002B00AE" w14:paraId="6AD251B9" w14:textId="77777777" w:rsidTr="000962E5">
        <w:trPr>
          <w:trHeight w:val="360"/>
        </w:trPr>
        <w:tc>
          <w:tcPr>
            <w:tcW w:w="5575" w:type="dxa"/>
            <w:noWrap/>
            <w:hideMark/>
          </w:tcPr>
          <w:p w14:paraId="71D6B332"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UpToDate (Walters Kluwer)</w:t>
            </w:r>
          </w:p>
        </w:tc>
        <w:tc>
          <w:tcPr>
            <w:tcW w:w="7470" w:type="dxa"/>
            <w:hideMark/>
          </w:tcPr>
          <w:p w14:paraId="54A576FB" w14:textId="77777777" w:rsidR="002B00AE" w:rsidRPr="002B00AE" w:rsidRDefault="002B00AE" w:rsidP="002B00AE">
            <w:pPr>
              <w:rPr>
                <w:rFonts w:ascii="Times New Roman" w:eastAsia="Times New Roman" w:hAnsi="Times New Roman" w:cs="Times New Roman"/>
                <w:color w:val="232323"/>
                <w:sz w:val="24"/>
                <w:szCs w:val="24"/>
                <w:lang w:val="en-US"/>
              </w:rPr>
            </w:pPr>
            <w:r w:rsidRPr="002B00AE">
              <w:rPr>
                <w:rFonts w:ascii="Times New Roman" w:eastAsia="Times New Roman" w:hAnsi="Times New Roman" w:cs="Times New Roman"/>
                <w:color w:val="232323"/>
                <w:sz w:val="24"/>
                <w:szCs w:val="24"/>
                <w:lang w:val="en-US"/>
              </w:rPr>
              <w:t>included in Overview of pharmacogenomics; used as citations for use of individual drugs</w:t>
            </w:r>
          </w:p>
        </w:tc>
      </w:tr>
      <w:tr w:rsidR="002B00AE" w:rsidRPr="002B00AE" w14:paraId="098F8B8A" w14:textId="77777777" w:rsidTr="000962E5">
        <w:trPr>
          <w:trHeight w:val="360"/>
        </w:trPr>
        <w:tc>
          <w:tcPr>
            <w:tcW w:w="5575" w:type="dxa"/>
            <w:hideMark/>
          </w:tcPr>
          <w:p w14:paraId="21961E8B"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Wikipedia</w:t>
            </w:r>
          </w:p>
        </w:tc>
        <w:tc>
          <w:tcPr>
            <w:tcW w:w="7470" w:type="dxa"/>
            <w:hideMark/>
          </w:tcPr>
          <w:p w14:paraId="171E898C" w14:textId="77777777" w:rsidR="002B00AE" w:rsidRPr="002B00AE" w:rsidRDefault="002B00AE" w:rsidP="002B00AE">
            <w:pPr>
              <w:rPr>
                <w:rFonts w:ascii="Times New Roman" w:eastAsia="Times New Roman" w:hAnsi="Times New Roman" w:cs="Times New Roman"/>
                <w:color w:val="000000"/>
                <w:sz w:val="24"/>
                <w:szCs w:val="24"/>
                <w:lang w:val="en-US"/>
              </w:rPr>
            </w:pPr>
            <w:r w:rsidRPr="002B00AE">
              <w:rPr>
                <w:rFonts w:ascii="Times New Roman" w:eastAsia="Times New Roman" w:hAnsi="Times New Roman" w:cs="Times New Roman"/>
                <w:color w:val="000000"/>
                <w:sz w:val="24"/>
                <w:szCs w:val="24"/>
                <w:lang w:val="en-US"/>
              </w:rPr>
              <w:t>teaching or research tool</w:t>
            </w:r>
          </w:p>
        </w:tc>
      </w:tr>
    </w:tbl>
    <w:p w14:paraId="2C173D1A" w14:textId="65D0B41B" w:rsidR="00F35D10" w:rsidRDefault="00F35D10"/>
    <w:p w14:paraId="58E090DF" w14:textId="77777777" w:rsidR="002B00AE" w:rsidRDefault="002B00AE">
      <w:r>
        <w:br w:type="page"/>
      </w:r>
    </w:p>
    <w:p w14:paraId="129A550A" w14:textId="247C8AAB" w:rsidR="002B00AE" w:rsidRPr="000B4336" w:rsidRDefault="002B00AE" w:rsidP="000962E5">
      <w:pPr>
        <w:pStyle w:val="Heading2"/>
      </w:pPr>
      <w:r w:rsidRPr="000B4336">
        <w:lastRenderedPageBreak/>
        <w:t>Table 2. Media citations of CPIC 2017-2022</w:t>
      </w:r>
    </w:p>
    <w:tbl>
      <w:tblPr>
        <w:tblStyle w:val="TableGrid"/>
        <w:tblW w:w="0" w:type="auto"/>
        <w:tblLayout w:type="fixed"/>
        <w:tblLook w:val="04A0" w:firstRow="1" w:lastRow="0" w:firstColumn="1" w:lastColumn="0" w:noHBand="0" w:noVBand="1"/>
      </w:tblPr>
      <w:tblGrid>
        <w:gridCol w:w="2515"/>
        <w:gridCol w:w="3150"/>
        <w:gridCol w:w="1530"/>
        <w:gridCol w:w="990"/>
        <w:gridCol w:w="4765"/>
      </w:tblGrid>
      <w:tr w:rsidR="002B00AE" w14:paraId="3EAD420D" w14:textId="77777777" w:rsidTr="000962E5">
        <w:tc>
          <w:tcPr>
            <w:tcW w:w="2515" w:type="dxa"/>
          </w:tcPr>
          <w:p w14:paraId="0BE0E7D4" w14:textId="77777777" w:rsidR="002B00AE" w:rsidRDefault="002B00AE"/>
        </w:tc>
        <w:tc>
          <w:tcPr>
            <w:tcW w:w="3150" w:type="dxa"/>
          </w:tcPr>
          <w:p w14:paraId="4E2A5734" w14:textId="77777777" w:rsidR="002B00AE" w:rsidRDefault="002B00AE"/>
        </w:tc>
        <w:tc>
          <w:tcPr>
            <w:tcW w:w="1530" w:type="dxa"/>
          </w:tcPr>
          <w:p w14:paraId="49603FA8" w14:textId="77777777" w:rsidR="002B00AE" w:rsidRDefault="002B00AE"/>
        </w:tc>
        <w:tc>
          <w:tcPr>
            <w:tcW w:w="990" w:type="dxa"/>
          </w:tcPr>
          <w:p w14:paraId="0C76DABD" w14:textId="77777777" w:rsidR="002B00AE" w:rsidRDefault="002B00AE"/>
        </w:tc>
        <w:tc>
          <w:tcPr>
            <w:tcW w:w="4765" w:type="dxa"/>
          </w:tcPr>
          <w:p w14:paraId="46B23BCF" w14:textId="77777777" w:rsidR="002B00AE" w:rsidRDefault="002B00AE"/>
        </w:tc>
      </w:tr>
      <w:tr w:rsidR="002B00AE" w:rsidRPr="002B00AE" w14:paraId="23C32856" w14:textId="77777777" w:rsidTr="000962E5">
        <w:trPr>
          <w:trHeight w:val="510"/>
        </w:trPr>
        <w:tc>
          <w:tcPr>
            <w:tcW w:w="2515" w:type="dxa"/>
            <w:hideMark/>
          </w:tcPr>
          <w:p w14:paraId="30D91AF7" w14:textId="77777777" w:rsidR="002B00AE" w:rsidRPr="002B00AE" w:rsidRDefault="002B00AE" w:rsidP="002B00AE">
            <w:pPr>
              <w:rPr>
                <w:rFonts w:ascii="Arial" w:eastAsia="Times New Roman" w:hAnsi="Arial" w:cs="Arial"/>
                <w:b/>
                <w:bCs/>
                <w:sz w:val="20"/>
                <w:szCs w:val="20"/>
                <w:lang w:val="en-US"/>
              </w:rPr>
            </w:pPr>
            <w:r w:rsidRPr="002B00AE">
              <w:rPr>
                <w:rFonts w:ascii="Arial" w:eastAsia="Times New Roman" w:hAnsi="Arial" w:cs="Arial"/>
                <w:b/>
                <w:bCs/>
                <w:sz w:val="20"/>
                <w:szCs w:val="20"/>
                <w:lang w:val="en-US"/>
              </w:rPr>
              <w:t>Article</w:t>
            </w:r>
          </w:p>
        </w:tc>
        <w:tc>
          <w:tcPr>
            <w:tcW w:w="3150" w:type="dxa"/>
            <w:hideMark/>
          </w:tcPr>
          <w:p w14:paraId="13EC51BF" w14:textId="77777777" w:rsidR="002B00AE" w:rsidRPr="002B00AE" w:rsidRDefault="002B00AE" w:rsidP="002B00AE">
            <w:pPr>
              <w:rPr>
                <w:rFonts w:ascii="Arial" w:eastAsia="Times New Roman" w:hAnsi="Arial" w:cs="Arial"/>
                <w:b/>
                <w:bCs/>
                <w:sz w:val="20"/>
                <w:szCs w:val="20"/>
                <w:lang w:val="en-US"/>
              </w:rPr>
            </w:pPr>
            <w:r w:rsidRPr="002B00AE">
              <w:rPr>
                <w:rFonts w:ascii="Arial" w:eastAsia="Times New Roman" w:hAnsi="Arial" w:cs="Arial"/>
                <w:b/>
                <w:bCs/>
                <w:sz w:val="20"/>
                <w:szCs w:val="20"/>
                <w:lang w:val="en-US"/>
              </w:rPr>
              <w:t>URL</w:t>
            </w:r>
          </w:p>
        </w:tc>
        <w:tc>
          <w:tcPr>
            <w:tcW w:w="1530" w:type="dxa"/>
            <w:hideMark/>
          </w:tcPr>
          <w:p w14:paraId="6C08C1F5" w14:textId="77777777" w:rsidR="002B00AE" w:rsidRPr="002B00AE" w:rsidRDefault="002B00AE" w:rsidP="002B00AE">
            <w:pPr>
              <w:rPr>
                <w:rFonts w:ascii="Arial" w:eastAsia="Times New Roman" w:hAnsi="Arial" w:cs="Arial"/>
                <w:b/>
                <w:bCs/>
                <w:sz w:val="20"/>
                <w:szCs w:val="20"/>
                <w:lang w:val="en-US"/>
              </w:rPr>
            </w:pPr>
            <w:r w:rsidRPr="002B00AE">
              <w:rPr>
                <w:rFonts w:ascii="Arial" w:eastAsia="Times New Roman" w:hAnsi="Arial" w:cs="Arial"/>
                <w:b/>
                <w:bCs/>
                <w:sz w:val="20"/>
                <w:szCs w:val="20"/>
                <w:lang w:val="en-US"/>
              </w:rPr>
              <w:t>Media Outlet</w:t>
            </w:r>
          </w:p>
        </w:tc>
        <w:tc>
          <w:tcPr>
            <w:tcW w:w="990" w:type="dxa"/>
            <w:hideMark/>
          </w:tcPr>
          <w:p w14:paraId="2705CF56" w14:textId="77777777" w:rsidR="002B00AE" w:rsidRPr="002B00AE" w:rsidRDefault="002B00AE" w:rsidP="002B00AE">
            <w:pPr>
              <w:rPr>
                <w:rFonts w:ascii="Arial" w:eastAsia="Times New Roman" w:hAnsi="Arial" w:cs="Arial"/>
                <w:b/>
                <w:bCs/>
                <w:sz w:val="20"/>
                <w:szCs w:val="20"/>
                <w:lang w:val="en-US"/>
              </w:rPr>
            </w:pPr>
            <w:r w:rsidRPr="002B00AE">
              <w:rPr>
                <w:rFonts w:ascii="Arial" w:eastAsia="Times New Roman" w:hAnsi="Arial" w:cs="Arial"/>
                <w:b/>
                <w:bCs/>
                <w:sz w:val="20"/>
                <w:szCs w:val="20"/>
                <w:lang w:val="en-US"/>
              </w:rPr>
              <w:t>Date</w:t>
            </w:r>
          </w:p>
        </w:tc>
        <w:tc>
          <w:tcPr>
            <w:tcW w:w="4765" w:type="dxa"/>
            <w:hideMark/>
          </w:tcPr>
          <w:p w14:paraId="24EFEF7C" w14:textId="77777777" w:rsidR="002B00AE" w:rsidRPr="002B00AE" w:rsidRDefault="002B00AE" w:rsidP="002B00AE">
            <w:pPr>
              <w:rPr>
                <w:rFonts w:ascii="Arial" w:eastAsia="Times New Roman" w:hAnsi="Arial" w:cs="Arial"/>
                <w:b/>
                <w:bCs/>
                <w:sz w:val="20"/>
                <w:szCs w:val="20"/>
                <w:lang w:val="en-US"/>
              </w:rPr>
            </w:pPr>
            <w:r w:rsidRPr="002B00AE">
              <w:rPr>
                <w:rFonts w:ascii="Arial" w:eastAsia="Times New Roman" w:hAnsi="Arial" w:cs="Arial"/>
                <w:b/>
                <w:bCs/>
                <w:sz w:val="20"/>
                <w:szCs w:val="20"/>
                <w:lang w:val="en-US"/>
              </w:rPr>
              <w:t>Snippet</w:t>
            </w:r>
          </w:p>
        </w:tc>
      </w:tr>
      <w:tr w:rsidR="002B00AE" w:rsidRPr="002B00AE" w14:paraId="7BB7F2BE" w14:textId="77777777" w:rsidTr="000962E5">
        <w:trPr>
          <w:trHeight w:val="1020"/>
        </w:trPr>
        <w:tc>
          <w:tcPr>
            <w:tcW w:w="2515" w:type="dxa"/>
            <w:hideMark/>
          </w:tcPr>
          <w:p w14:paraId="10EF3F3D"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Focus on Clinical Guidelines and Consensus Statements</w:t>
            </w:r>
          </w:p>
        </w:tc>
        <w:tc>
          <w:tcPr>
            <w:tcW w:w="3150" w:type="dxa"/>
            <w:hideMark/>
          </w:tcPr>
          <w:p w14:paraId="4559D263"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https://www.accp.com/report/index.aspx?iss=0317&amp;art=5</w:t>
            </w:r>
          </w:p>
        </w:tc>
        <w:tc>
          <w:tcPr>
            <w:tcW w:w="1530" w:type="dxa"/>
            <w:hideMark/>
          </w:tcPr>
          <w:p w14:paraId="21E907E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ACCP</w:t>
            </w:r>
          </w:p>
        </w:tc>
        <w:tc>
          <w:tcPr>
            <w:tcW w:w="990" w:type="dxa"/>
            <w:hideMark/>
          </w:tcPr>
          <w:p w14:paraId="03E08D33"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2017</w:t>
            </w:r>
          </w:p>
        </w:tc>
        <w:tc>
          <w:tcPr>
            <w:tcW w:w="4765" w:type="dxa"/>
            <w:hideMark/>
          </w:tcPr>
          <w:p w14:paraId="5895890F"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Several other ACCP members continue to serve as members of the interprofessional Clinical Pharmacogenetics Implementation Consortium (CPIC).</w:t>
            </w:r>
          </w:p>
        </w:tc>
      </w:tr>
      <w:tr w:rsidR="002B00AE" w:rsidRPr="002B00AE" w14:paraId="61979F02" w14:textId="77777777" w:rsidTr="000962E5">
        <w:trPr>
          <w:trHeight w:val="1140"/>
        </w:trPr>
        <w:tc>
          <w:tcPr>
            <w:tcW w:w="2515" w:type="dxa"/>
            <w:hideMark/>
          </w:tcPr>
          <w:p w14:paraId="5AE84B3F"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Is Preemptive Pharmacogenetic Testing Coming to a Health System Near You?</w:t>
            </w:r>
          </w:p>
        </w:tc>
        <w:tc>
          <w:tcPr>
            <w:tcW w:w="3150" w:type="dxa"/>
            <w:hideMark/>
          </w:tcPr>
          <w:p w14:paraId="1C9BA334"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https://www.aacc.org/science-and-research/scientific-shorts/2019/is-preemptive-pharmacogenetic-testing-coming-to-a-health-system-near-you</w:t>
            </w:r>
          </w:p>
        </w:tc>
        <w:tc>
          <w:tcPr>
            <w:tcW w:w="1530" w:type="dxa"/>
            <w:hideMark/>
          </w:tcPr>
          <w:p w14:paraId="19D0CA46"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AACC</w:t>
            </w:r>
          </w:p>
        </w:tc>
        <w:tc>
          <w:tcPr>
            <w:tcW w:w="990" w:type="dxa"/>
            <w:hideMark/>
          </w:tcPr>
          <w:p w14:paraId="79ECA4BC"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2019</w:t>
            </w:r>
          </w:p>
        </w:tc>
        <w:tc>
          <w:tcPr>
            <w:tcW w:w="4765" w:type="dxa"/>
            <w:hideMark/>
          </w:tcPr>
          <w:p w14:paraId="0678C12D" w14:textId="77777777" w:rsidR="002B00AE" w:rsidRPr="002B00AE" w:rsidRDefault="002B00AE" w:rsidP="002B00AE">
            <w:pPr>
              <w:rPr>
                <w:rFonts w:ascii="Arial" w:eastAsia="Times New Roman" w:hAnsi="Arial" w:cs="Arial"/>
                <w:color w:val="333A3D"/>
                <w:lang w:val="en-US"/>
              </w:rPr>
            </w:pPr>
            <w:r w:rsidRPr="002B00AE">
              <w:rPr>
                <w:rFonts w:ascii="Arial" w:eastAsia="Times New Roman" w:hAnsi="Arial" w:cs="Arial"/>
                <w:color w:val="333A3D"/>
                <w:lang w:val="en-US"/>
              </w:rPr>
              <w:t>Evidence-based clinical guidelines have been published for over 30 of those pairs by the Clinical Pharmacogenetics Implementation Consortium (CPIC) </w:t>
            </w:r>
          </w:p>
        </w:tc>
      </w:tr>
      <w:tr w:rsidR="002B00AE" w:rsidRPr="002B00AE" w14:paraId="08CC8C5E" w14:textId="77777777" w:rsidTr="000962E5">
        <w:trPr>
          <w:trHeight w:val="1020"/>
        </w:trPr>
        <w:tc>
          <w:tcPr>
            <w:tcW w:w="2515" w:type="dxa"/>
            <w:hideMark/>
          </w:tcPr>
          <w:p w14:paraId="10BBEA65"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 xml:space="preserve">AMP Recommends Best Practices for Clinical Pharmacogenomic Testing </w:t>
            </w:r>
          </w:p>
        </w:tc>
        <w:tc>
          <w:tcPr>
            <w:tcW w:w="3150" w:type="dxa"/>
            <w:hideMark/>
          </w:tcPr>
          <w:p w14:paraId="141BCFEE"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https://clpmag.com/resource-center/research/amp-recommends-best-practices-for-clinical-pharmacogenomic-testing/</w:t>
            </w:r>
          </w:p>
        </w:tc>
        <w:tc>
          <w:tcPr>
            <w:tcW w:w="1530" w:type="dxa"/>
            <w:hideMark/>
          </w:tcPr>
          <w:p w14:paraId="0A048986"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CLP magazine</w:t>
            </w:r>
          </w:p>
        </w:tc>
        <w:tc>
          <w:tcPr>
            <w:tcW w:w="990" w:type="dxa"/>
            <w:hideMark/>
          </w:tcPr>
          <w:p w14:paraId="6B1C85A9"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2019</w:t>
            </w:r>
          </w:p>
        </w:tc>
        <w:tc>
          <w:tcPr>
            <w:tcW w:w="4765" w:type="dxa"/>
            <w:hideMark/>
          </w:tcPr>
          <w:p w14:paraId="40409623"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The recommendations are based on guidelines developed by the Clinical Pharmacogenetics Implementation Consortium (CPIC), </w:t>
            </w:r>
          </w:p>
        </w:tc>
      </w:tr>
      <w:tr w:rsidR="002B00AE" w:rsidRPr="002B00AE" w14:paraId="3EE1071C" w14:textId="77777777" w:rsidTr="000962E5">
        <w:trPr>
          <w:trHeight w:val="1275"/>
        </w:trPr>
        <w:tc>
          <w:tcPr>
            <w:tcW w:w="2515" w:type="dxa"/>
            <w:hideMark/>
          </w:tcPr>
          <w:p w14:paraId="2A31A8D9"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The Building Blocks of a Pharmacogenomic Program</w:t>
            </w:r>
          </w:p>
        </w:tc>
        <w:tc>
          <w:tcPr>
            <w:tcW w:w="3150" w:type="dxa"/>
            <w:hideMark/>
          </w:tcPr>
          <w:p w14:paraId="4E27573C"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https://www.aacc.org/cln/articles/2021/april/the-building-blocks-of-a-pharmacogenomic-program</w:t>
            </w:r>
          </w:p>
        </w:tc>
        <w:tc>
          <w:tcPr>
            <w:tcW w:w="1530" w:type="dxa"/>
            <w:hideMark/>
          </w:tcPr>
          <w:p w14:paraId="564A80CC"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AACC</w:t>
            </w:r>
          </w:p>
        </w:tc>
        <w:tc>
          <w:tcPr>
            <w:tcW w:w="990" w:type="dxa"/>
            <w:hideMark/>
          </w:tcPr>
          <w:p w14:paraId="033BF073"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2020</w:t>
            </w:r>
          </w:p>
        </w:tc>
        <w:tc>
          <w:tcPr>
            <w:tcW w:w="4765" w:type="dxa"/>
            <w:hideMark/>
          </w:tcPr>
          <w:p w14:paraId="2D841331"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Clinical guidelines, such as those from the Clinical Pharmacogenetics Implementation Consortium (CPIC) and PharmGKB, can help clinicians sort out the utility of pharmacogenomic testing for their patients</w:t>
            </w:r>
          </w:p>
        </w:tc>
      </w:tr>
      <w:tr w:rsidR="002B00AE" w:rsidRPr="002B00AE" w14:paraId="02B24866" w14:textId="77777777" w:rsidTr="000962E5">
        <w:trPr>
          <w:trHeight w:val="1785"/>
        </w:trPr>
        <w:tc>
          <w:tcPr>
            <w:tcW w:w="2515" w:type="dxa"/>
            <w:hideMark/>
          </w:tcPr>
          <w:p w14:paraId="59DA928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Put It on the Board - CAP TODAY</w:t>
            </w:r>
          </w:p>
        </w:tc>
        <w:tc>
          <w:tcPr>
            <w:tcW w:w="3150" w:type="dxa"/>
            <w:hideMark/>
          </w:tcPr>
          <w:p w14:paraId="3133A786" w14:textId="77777777" w:rsidR="002B00AE" w:rsidRPr="002B00AE" w:rsidRDefault="000962E5" w:rsidP="002B00AE">
            <w:pPr>
              <w:rPr>
                <w:rFonts w:ascii="Arial" w:eastAsia="Times New Roman" w:hAnsi="Arial" w:cs="Arial"/>
                <w:sz w:val="20"/>
                <w:szCs w:val="20"/>
                <w:lang w:val="en-US"/>
              </w:rPr>
            </w:pPr>
            <w:hyperlink r:id="rId5" w:tgtFrame="_parent" w:history="1">
              <w:r w:rsidR="002B00AE" w:rsidRPr="002B00AE">
                <w:rPr>
                  <w:rFonts w:ascii="Arial" w:eastAsia="Times New Roman" w:hAnsi="Arial" w:cs="Arial"/>
                  <w:sz w:val="20"/>
                  <w:szCs w:val="20"/>
                  <w:lang w:val="en-US"/>
                </w:rPr>
                <w:t>https://www.captodayonline.com/put-it-on-the-board-0720/</w:t>
              </w:r>
            </w:hyperlink>
          </w:p>
        </w:tc>
        <w:tc>
          <w:tcPr>
            <w:tcW w:w="1530" w:type="dxa"/>
            <w:hideMark/>
          </w:tcPr>
          <w:p w14:paraId="25AE83CB"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CAP Today</w:t>
            </w:r>
          </w:p>
        </w:tc>
        <w:tc>
          <w:tcPr>
            <w:tcW w:w="990" w:type="dxa"/>
            <w:hideMark/>
          </w:tcPr>
          <w:p w14:paraId="3302BA7E"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2020</w:t>
            </w:r>
          </w:p>
        </w:tc>
        <w:tc>
          <w:tcPr>
            <w:tcW w:w="4765" w:type="dxa"/>
            <w:hideMark/>
          </w:tcPr>
          <w:p w14:paraId="0AB95303"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Developed by the AMP PGx Working Group with organizational representation from the CAP and the Clinical Pharmacogenetics Implementation Consortium, the latest report (https://doi.org/10.1016/j.jmoldx.2020.04.204) builds on the earlier recommendations for clinical CYP2</w:t>
            </w:r>
            <w:r w:rsidRPr="002B00AE">
              <w:rPr>
                <w:rFonts w:ascii="Arial" w:eastAsia="Times New Roman" w:hAnsi="Arial" w:cs="Arial"/>
                <w:sz w:val="20"/>
                <w:szCs w:val="20"/>
                <w:lang w:val="en-US"/>
              </w:rPr>
              <w:softHyphen/>
            </w:r>
            <w:r w:rsidRPr="002B00AE">
              <w:rPr>
                <w:rFonts w:ascii="Arial" w:eastAsia="Times New Roman" w:hAnsi="Arial" w:cs="Arial"/>
                <w:sz w:val="20"/>
                <w:szCs w:val="20"/>
                <w:lang w:val="en-US"/>
              </w:rPr>
              <w:softHyphen/>
              <w:t>C19 and CYP2C9 genotyping.</w:t>
            </w:r>
          </w:p>
        </w:tc>
      </w:tr>
      <w:tr w:rsidR="002B00AE" w:rsidRPr="002B00AE" w14:paraId="2BE3123F" w14:textId="77777777" w:rsidTr="000962E5">
        <w:trPr>
          <w:trHeight w:val="1785"/>
        </w:trPr>
        <w:tc>
          <w:tcPr>
            <w:tcW w:w="2515" w:type="dxa"/>
            <w:hideMark/>
          </w:tcPr>
          <w:p w14:paraId="0C902E46"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Clinical Study Shows Benefits of Using Pharmacogenetics among Statin Users</w:t>
            </w:r>
          </w:p>
        </w:tc>
        <w:tc>
          <w:tcPr>
            <w:tcW w:w="3150" w:type="dxa"/>
            <w:hideMark/>
          </w:tcPr>
          <w:p w14:paraId="124BF645" w14:textId="77777777" w:rsidR="002B00AE" w:rsidRPr="002B00AE" w:rsidRDefault="000962E5" w:rsidP="002B00AE">
            <w:pPr>
              <w:rPr>
                <w:rFonts w:ascii="Arial" w:eastAsia="Times New Roman" w:hAnsi="Arial" w:cs="Arial"/>
                <w:sz w:val="20"/>
                <w:szCs w:val="20"/>
                <w:lang w:val="en-US"/>
              </w:rPr>
            </w:pPr>
            <w:hyperlink r:id="rId6" w:tgtFrame="_parent" w:history="1">
              <w:r w:rsidR="002B00AE" w:rsidRPr="002B00AE">
                <w:rPr>
                  <w:rFonts w:ascii="Arial" w:eastAsia="Times New Roman" w:hAnsi="Arial" w:cs="Arial"/>
                  <w:sz w:val="20"/>
                  <w:szCs w:val="20"/>
                  <w:lang w:val="en-US"/>
                </w:rPr>
                <w:t>https://www.genengnews.com/news/clinical-study-shows-benefits-of-using-pharmacogenetics-among-statin-users/</w:t>
              </w:r>
            </w:hyperlink>
          </w:p>
        </w:tc>
        <w:tc>
          <w:tcPr>
            <w:tcW w:w="1530" w:type="dxa"/>
            <w:hideMark/>
          </w:tcPr>
          <w:p w14:paraId="07338070"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Genetic Engineering &amp; Biotechnology News</w:t>
            </w:r>
          </w:p>
        </w:tc>
        <w:tc>
          <w:tcPr>
            <w:tcW w:w="990" w:type="dxa"/>
            <w:hideMark/>
          </w:tcPr>
          <w:p w14:paraId="5DD308F0"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2020</w:t>
            </w:r>
          </w:p>
        </w:tc>
        <w:tc>
          <w:tcPr>
            <w:tcW w:w="4765" w:type="dxa"/>
            <w:hideMark/>
          </w:tcPr>
          <w:p w14:paraId="040AC2E2"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secondary outcomes were 1-year concordance with American College of Cardiology–American Heart Association and Clinical Pharmacogenetics Implementation Consortium (CPIC) guidelines for statin therapy and statin-associated muscle symptoms (SAMS).</w:t>
            </w:r>
          </w:p>
        </w:tc>
      </w:tr>
      <w:tr w:rsidR="002B00AE" w:rsidRPr="002B00AE" w14:paraId="2C823772" w14:textId="77777777" w:rsidTr="000962E5">
        <w:trPr>
          <w:trHeight w:val="1530"/>
        </w:trPr>
        <w:tc>
          <w:tcPr>
            <w:tcW w:w="2515" w:type="dxa"/>
            <w:hideMark/>
          </w:tcPr>
          <w:p w14:paraId="413FD2ED"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How Should Health Systems Approach Their Enterprise Precision Medicine Efforts?</w:t>
            </w:r>
          </w:p>
        </w:tc>
        <w:tc>
          <w:tcPr>
            <w:tcW w:w="3150" w:type="dxa"/>
            <w:hideMark/>
          </w:tcPr>
          <w:p w14:paraId="488BB859" w14:textId="77777777" w:rsidR="002B00AE" w:rsidRPr="002B00AE" w:rsidRDefault="000962E5" w:rsidP="002B00AE">
            <w:pPr>
              <w:rPr>
                <w:rFonts w:ascii="Arial" w:eastAsia="Times New Roman" w:hAnsi="Arial" w:cs="Arial"/>
                <w:sz w:val="20"/>
                <w:szCs w:val="20"/>
                <w:lang w:val="en-US"/>
              </w:rPr>
            </w:pPr>
            <w:hyperlink r:id="rId7" w:tgtFrame="_parent" w:history="1">
              <w:r w:rsidR="002B00AE" w:rsidRPr="002B00AE">
                <w:rPr>
                  <w:rFonts w:ascii="Arial" w:eastAsia="Times New Roman" w:hAnsi="Arial" w:cs="Arial"/>
                  <w:sz w:val="20"/>
                  <w:szCs w:val="20"/>
                  <w:lang w:val="en-US"/>
                </w:rPr>
                <w:t>https://www.healthcareittoday.com/2020/09/02/how-should-health-systems-approach-their-enterprise-precision-medicine-efforts/</w:t>
              </w:r>
            </w:hyperlink>
          </w:p>
        </w:tc>
        <w:tc>
          <w:tcPr>
            <w:tcW w:w="1530" w:type="dxa"/>
            <w:hideMark/>
          </w:tcPr>
          <w:p w14:paraId="332BF78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Healthcare IT Today</w:t>
            </w:r>
          </w:p>
        </w:tc>
        <w:tc>
          <w:tcPr>
            <w:tcW w:w="990" w:type="dxa"/>
            <w:hideMark/>
          </w:tcPr>
          <w:p w14:paraId="38C42E5E"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2020</w:t>
            </w:r>
          </w:p>
        </w:tc>
        <w:tc>
          <w:tcPr>
            <w:tcW w:w="4765" w:type="dxa"/>
            <w:hideMark/>
          </w:tcPr>
          <w:p w14:paraId="59339FB1"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Empey suggests that organizations such as Clinical Pharmacogenetics Implementation Consortium (CPIC) are leading the efforts for some of these standards.  This reminds me of the lessons we’ve learned about discrete data and standardization in other areas of the EHR.</w:t>
            </w:r>
          </w:p>
        </w:tc>
      </w:tr>
      <w:tr w:rsidR="002B00AE" w:rsidRPr="002B00AE" w14:paraId="7DC1209E" w14:textId="77777777" w:rsidTr="000962E5">
        <w:trPr>
          <w:trHeight w:val="1275"/>
        </w:trPr>
        <w:tc>
          <w:tcPr>
            <w:tcW w:w="2515" w:type="dxa"/>
            <w:hideMark/>
          </w:tcPr>
          <w:p w14:paraId="1A95EAB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INVEST Precision Medicine Pitch Perfect winner spotlight: Parallel Profile</w:t>
            </w:r>
          </w:p>
        </w:tc>
        <w:tc>
          <w:tcPr>
            <w:tcW w:w="3150" w:type="dxa"/>
            <w:hideMark/>
          </w:tcPr>
          <w:p w14:paraId="0459D083" w14:textId="77777777" w:rsidR="002B00AE" w:rsidRPr="002B00AE" w:rsidRDefault="000962E5" w:rsidP="002B00AE">
            <w:pPr>
              <w:rPr>
                <w:rFonts w:ascii="Arial" w:eastAsia="Times New Roman" w:hAnsi="Arial" w:cs="Arial"/>
                <w:sz w:val="20"/>
                <w:szCs w:val="20"/>
                <w:lang w:val="en-US"/>
              </w:rPr>
            </w:pPr>
            <w:hyperlink r:id="rId8" w:tgtFrame="_parent" w:history="1">
              <w:r w:rsidR="002B00AE" w:rsidRPr="002B00AE">
                <w:rPr>
                  <w:rFonts w:ascii="Arial" w:eastAsia="Times New Roman" w:hAnsi="Arial" w:cs="Arial"/>
                  <w:sz w:val="20"/>
                  <w:szCs w:val="20"/>
                  <w:lang w:val="en-US"/>
                </w:rPr>
                <w:t>https://medcitynews.com/2020/12/invest-precision-medicine-pitch-perfect-winner-spotlight-parallel-profile/</w:t>
              </w:r>
            </w:hyperlink>
          </w:p>
        </w:tc>
        <w:tc>
          <w:tcPr>
            <w:tcW w:w="1530" w:type="dxa"/>
            <w:hideMark/>
          </w:tcPr>
          <w:p w14:paraId="04A0F242"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MedCity</w:t>
            </w:r>
            <w:proofErr w:type="spellEnd"/>
            <w:r w:rsidRPr="002B00AE">
              <w:rPr>
                <w:rFonts w:ascii="Arial" w:eastAsia="Times New Roman" w:hAnsi="Arial" w:cs="Arial"/>
                <w:sz w:val="20"/>
                <w:szCs w:val="20"/>
                <w:lang w:val="en-US"/>
              </w:rPr>
              <w:t xml:space="preserve"> News</w:t>
            </w:r>
          </w:p>
        </w:tc>
        <w:tc>
          <w:tcPr>
            <w:tcW w:w="990" w:type="dxa"/>
            <w:hideMark/>
          </w:tcPr>
          <w:p w14:paraId="2D7A7816"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2020</w:t>
            </w:r>
          </w:p>
        </w:tc>
        <w:tc>
          <w:tcPr>
            <w:tcW w:w="4765" w:type="dxa"/>
            <w:hideMark/>
          </w:tcPr>
          <w:p w14:paraId="4E5DC0F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To determine whether people have a genetic risk factor for an adverse drug reaction, the startup uses public data from the Clinical Pharmacogenetics Implementation Consortium (CPIC).</w:t>
            </w:r>
          </w:p>
        </w:tc>
      </w:tr>
      <w:tr w:rsidR="002B00AE" w:rsidRPr="002B00AE" w14:paraId="17350139" w14:textId="77777777" w:rsidTr="000962E5">
        <w:trPr>
          <w:trHeight w:val="1530"/>
        </w:trPr>
        <w:tc>
          <w:tcPr>
            <w:tcW w:w="2515" w:type="dxa"/>
            <w:hideMark/>
          </w:tcPr>
          <w:p w14:paraId="750D398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Myriad Genetics Delivers 6% Sequential Revenue Growth; Company Continues to Execute Strategic Transformation Plan | </w:t>
            </w:r>
            <w:proofErr w:type="spellStart"/>
            <w:r w:rsidRPr="002B00AE">
              <w:rPr>
                <w:rFonts w:ascii="Arial" w:eastAsia="Times New Roman" w:hAnsi="Arial" w:cs="Arial"/>
                <w:sz w:val="20"/>
                <w:szCs w:val="20"/>
                <w:lang w:val="en-US"/>
              </w:rPr>
              <w:t>BioSpace</w:t>
            </w:r>
            <w:proofErr w:type="spellEnd"/>
          </w:p>
        </w:tc>
        <w:tc>
          <w:tcPr>
            <w:tcW w:w="3150" w:type="dxa"/>
            <w:hideMark/>
          </w:tcPr>
          <w:p w14:paraId="1764815B" w14:textId="77777777" w:rsidR="002B00AE" w:rsidRPr="002B00AE" w:rsidRDefault="000962E5" w:rsidP="002B00AE">
            <w:pPr>
              <w:rPr>
                <w:rFonts w:ascii="Arial" w:eastAsia="Times New Roman" w:hAnsi="Arial" w:cs="Arial"/>
                <w:sz w:val="20"/>
                <w:szCs w:val="20"/>
                <w:lang w:val="en-US"/>
              </w:rPr>
            </w:pPr>
            <w:hyperlink r:id="rId9" w:tgtFrame="_parent" w:history="1">
              <w:r w:rsidR="002B00AE" w:rsidRPr="002B00AE">
                <w:rPr>
                  <w:rFonts w:ascii="Arial" w:eastAsia="Times New Roman" w:hAnsi="Arial" w:cs="Arial"/>
                  <w:sz w:val="20"/>
                  <w:szCs w:val="20"/>
                  <w:lang w:val="en-US"/>
                </w:rPr>
                <w:t>https://www.biospace.com/article/releases/myriad-genetics-delivers-6-percent-sequential-revenue-growth-company-continues-to-execute-strategic-transformation-plan/</w:t>
              </w:r>
            </w:hyperlink>
          </w:p>
        </w:tc>
        <w:tc>
          <w:tcPr>
            <w:tcW w:w="1530" w:type="dxa"/>
            <w:hideMark/>
          </w:tcPr>
          <w:p w14:paraId="05C3320A"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BioSpace</w:t>
            </w:r>
            <w:proofErr w:type="spellEnd"/>
          </w:p>
        </w:tc>
        <w:tc>
          <w:tcPr>
            <w:tcW w:w="990" w:type="dxa"/>
            <w:hideMark/>
          </w:tcPr>
          <w:p w14:paraId="2C636308"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7BDAE2A0"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The first was a new publication in Psychiatry Research demonstrated that the </w:t>
            </w:r>
            <w:proofErr w:type="spellStart"/>
            <w:r w:rsidRPr="002B00AE">
              <w:rPr>
                <w:rFonts w:ascii="Arial" w:eastAsia="Times New Roman" w:hAnsi="Arial" w:cs="Arial"/>
                <w:sz w:val="20"/>
                <w:szCs w:val="20"/>
                <w:lang w:val="en-US"/>
              </w:rPr>
              <w:t>GeneSight</w:t>
            </w:r>
            <w:proofErr w:type="spellEnd"/>
            <w:r w:rsidRPr="002B00AE">
              <w:rPr>
                <w:rFonts w:ascii="Arial" w:eastAsia="Times New Roman" w:hAnsi="Arial" w:cs="Arial"/>
                <w:sz w:val="20"/>
                <w:szCs w:val="20"/>
                <w:lang w:val="en-US"/>
              </w:rPr>
              <w:t xml:space="preserve"> combinatorial test was superior to single gene testing using the Clinical Pharmacogenetics Implementation Consortium (CPIC) guidelines.</w:t>
            </w:r>
          </w:p>
        </w:tc>
      </w:tr>
      <w:tr w:rsidR="002B00AE" w:rsidRPr="002B00AE" w14:paraId="767EDD0F" w14:textId="77777777" w:rsidTr="000962E5">
        <w:trPr>
          <w:trHeight w:val="1785"/>
        </w:trPr>
        <w:tc>
          <w:tcPr>
            <w:tcW w:w="2515" w:type="dxa"/>
            <w:hideMark/>
          </w:tcPr>
          <w:p w14:paraId="677CAD2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PGx in transplant medicine: tacrolimus as foundation</w:t>
            </w:r>
          </w:p>
        </w:tc>
        <w:tc>
          <w:tcPr>
            <w:tcW w:w="3150" w:type="dxa"/>
            <w:hideMark/>
          </w:tcPr>
          <w:p w14:paraId="350C0CB5" w14:textId="77777777" w:rsidR="002B00AE" w:rsidRPr="002B00AE" w:rsidRDefault="000962E5" w:rsidP="002B00AE">
            <w:pPr>
              <w:rPr>
                <w:rFonts w:ascii="Arial" w:eastAsia="Times New Roman" w:hAnsi="Arial" w:cs="Arial"/>
                <w:sz w:val="20"/>
                <w:szCs w:val="20"/>
                <w:lang w:val="en-US"/>
              </w:rPr>
            </w:pPr>
            <w:hyperlink r:id="rId10" w:tgtFrame="_parent" w:history="1">
              <w:r w:rsidR="002B00AE" w:rsidRPr="002B00AE">
                <w:rPr>
                  <w:rFonts w:ascii="Arial" w:eastAsia="Times New Roman" w:hAnsi="Arial" w:cs="Arial"/>
                  <w:sz w:val="20"/>
                  <w:szCs w:val="20"/>
                  <w:lang w:val="en-US"/>
                </w:rPr>
                <w:t>https://www.captodayonline.com/pgx-in-transplant-medicine-tacrolimus-as-foundation/</w:t>
              </w:r>
            </w:hyperlink>
          </w:p>
        </w:tc>
        <w:tc>
          <w:tcPr>
            <w:tcW w:w="1530" w:type="dxa"/>
            <w:hideMark/>
          </w:tcPr>
          <w:p w14:paraId="2A505D89"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CAP Today</w:t>
            </w:r>
          </w:p>
        </w:tc>
        <w:tc>
          <w:tcPr>
            <w:tcW w:w="990" w:type="dxa"/>
            <w:hideMark/>
          </w:tcPr>
          <w:p w14:paraId="68212C2E"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5BA8D1A0"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PharmGKB also publishes pharmacogenetic-based drug dosing guidelines authored by professional organizations such as the Clinical Pharmacogenetics Implementation Consortium. On the site now are clinical practice guidelines for three immunosuppressants: tacrolimus, methotrexate, and azathioprine.</w:t>
            </w:r>
          </w:p>
        </w:tc>
      </w:tr>
      <w:tr w:rsidR="002B00AE" w:rsidRPr="002B00AE" w14:paraId="24A231DD" w14:textId="77777777" w:rsidTr="000962E5">
        <w:trPr>
          <w:trHeight w:val="2040"/>
        </w:trPr>
        <w:tc>
          <w:tcPr>
            <w:tcW w:w="2515" w:type="dxa"/>
            <w:hideMark/>
          </w:tcPr>
          <w:p w14:paraId="7BF384E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AMP Provides Recommendations for Clinical CYP2D6 Genotyping Allele Selection</w:t>
            </w:r>
          </w:p>
        </w:tc>
        <w:tc>
          <w:tcPr>
            <w:tcW w:w="3150" w:type="dxa"/>
            <w:hideMark/>
          </w:tcPr>
          <w:p w14:paraId="483E86E2" w14:textId="77777777" w:rsidR="002B00AE" w:rsidRPr="002B00AE" w:rsidRDefault="000962E5" w:rsidP="002B00AE">
            <w:pPr>
              <w:rPr>
                <w:rFonts w:ascii="Arial" w:eastAsia="Times New Roman" w:hAnsi="Arial" w:cs="Arial"/>
                <w:sz w:val="20"/>
                <w:szCs w:val="20"/>
                <w:lang w:val="en-US"/>
              </w:rPr>
            </w:pPr>
            <w:hyperlink r:id="rId11" w:tgtFrame="_parent" w:history="1">
              <w:r w:rsidR="002B00AE" w:rsidRPr="002B00AE">
                <w:rPr>
                  <w:rFonts w:ascii="Arial" w:eastAsia="Times New Roman" w:hAnsi="Arial" w:cs="Arial"/>
                  <w:sz w:val="20"/>
                  <w:szCs w:val="20"/>
                  <w:lang w:val="en-US"/>
                </w:rPr>
                <w:t>https://clpmag.com/lab-essentials/quality-systems/standards/amp-provides-recommendations-for-clinical-cyp2d6-genotyping-allele-selection/</w:t>
              </w:r>
            </w:hyperlink>
          </w:p>
        </w:tc>
        <w:tc>
          <w:tcPr>
            <w:tcW w:w="1530" w:type="dxa"/>
            <w:hideMark/>
          </w:tcPr>
          <w:p w14:paraId="21C95469"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Clinical Lab Products</w:t>
            </w:r>
          </w:p>
        </w:tc>
        <w:tc>
          <w:tcPr>
            <w:tcW w:w="990" w:type="dxa"/>
            <w:hideMark/>
          </w:tcPr>
          <w:p w14:paraId="43B7FE7C"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04AAB9AF"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recommendations should be implemented together with other relevant clinical guidelines such as those issued by the Clinical Pharmacogenetics Implementation Consortium (CPIC), Dutch Pharmacogenetics Working Group (DPWG), Canadian Pharmacogenomics Network for Drug Safety (CPNDS), and the American College</w:t>
            </w:r>
          </w:p>
        </w:tc>
      </w:tr>
      <w:tr w:rsidR="002B00AE" w:rsidRPr="002B00AE" w14:paraId="7A2E4C1A" w14:textId="77777777" w:rsidTr="000962E5">
        <w:trPr>
          <w:trHeight w:val="3570"/>
        </w:trPr>
        <w:tc>
          <w:tcPr>
            <w:tcW w:w="2515" w:type="dxa"/>
            <w:hideMark/>
          </w:tcPr>
          <w:p w14:paraId="7D5FA31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Pharmacogenetic testing: Clinical integration and... : The Nurse Practitioner</w:t>
            </w:r>
          </w:p>
        </w:tc>
        <w:tc>
          <w:tcPr>
            <w:tcW w:w="3150" w:type="dxa"/>
            <w:hideMark/>
          </w:tcPr>
          <w:p w14:paraId="59012902" w14:textId="77777777" w:rsidR="002B00AE" w:rsidRPr="002B00AE" w:rsidRDefault="000962E5" w:rsidP="002B00AE">
            <w:pPr>
              <w:rPr>
                <w:rFonts w:ascii="Arial" w:eastAsia="Times New Roman" w:hAnsi="Arial" w:cs="Arial"/>
                <w:sz w:val="20"/>
                <w:szCs w:val="20"/>
                <w:lang w:val="en-US"/>
              </w:rPr>
            </w:pPr>
            <w:hyperlink r:id="rId12" w:tgtFrame="_parent" w:history="1">
              <w:r w:rsidR="002B00AE" w:rsidRPr="002B00AE">
                <w:rPr>
                  <w:rFonts w:ascii="Arial" w:eastAsia="Times New Roman" w:hAnsi="Arial" w:cs="Arial"/>
                  <w:sz w:val="20"/>
                  <w:szCs w:val="20"/>
                  <w:lang w:val="en-US"/>
                </w:rPr>
                <w:t>https://journals.lww.com/tnpj/fulltext/2021/04000/pharmacogenetic_testing__clinical_integration_and.2.aspx</w:t>
              </w:r>
            </w:hyperlink>
          </w:p>
        </w:tc>
        <w:tc>
          <w:tcPr>
            <w:tcW w:w="1530" w:type="dxa"/>
            <w:hideMark/>
          </w:tcPr>
          <w:p w14:paraId="1C8F28A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Emergency Medicine News</w:t>
            </w:r>
          </w:p>
        </w:tc>
        <w:tc>
          <w:tcPr>
            <w:tcW w:w="990" w:type="dxa"/>
            <w:hideMark/>
          </w:tcPr>
          <w:p w14:paraId="3B16D92B"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76962C4C"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Standardizing CYP2D6 genotype to phenotype translation: consensus recommendations from the Clinical Pharmacogenetics Implementation Consortium and Dutch Pharmacogenetics Working Group. Clin </w:t>
            </w:r>
            <w:proofErr w:type="spellStart"/>
            <w:r w:rsidRPr="002B00AE">
              <w:rPr>
                <w:rFonts w:ascii="Arial" w:eastAsia="Times New Roman" w:hAnsi="Arial" w:cs="Arial"/>
                <w:sz w:val="20"/>
                <w:szCs w:val="20"/>
                <w:lang w:val="en-US"/>
              </w:rPr>
              <w:t>Transl</w:t>
            </w:r>
            <w:proofErr w:type="spellEnd"/>
            <w:r w:rsidRPr="002B00AE">
              <w:rPr>
                <w:rFonts w:ascii="Arial" w:eastAsia="Times New Roman" w:hAnsi="Arial" w:cs="Arial"/>
                <w:sz w:val="20"/>
                <w:szCs w:val="20"/>
                <w:lang w:val="en-US"/>
              </w:rPr>
              <w:t xml:space="preserve"> Sci. 2020;13(1):116–124.</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 xml:space="preserve"> </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 xml:space="preserve"> </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 xml:space="preserve">21. </w:t>
            </w:r>
            <w:proofErr w:type="spellStart"/>
            <w:r w:rsidRPr="002B00AE">
              <w:rPr>
                <w:rFonts w:ascii="Arial" w:eastAsia="Times New Roman" w:hAnsi="Arial" w:cs="Arial"/>
                <w:sz w:val="20"/>
                <w:szCs w:val="20"/>
                <w:lang w:val="en-US"/>
              </w:rPr>
              <w:t>Fredrikson</w:t>
            </w:r>
            <w:proofErr w:type="spellEnd"/>
            <w:r w:rsidRPr="002B00AE">
              <w:rPr>
                <w:rFonts w:ascii="Arial" w:eastAsia="Times New Roman" w:hAnsi="Arial" w:cs="Arial"/>
                <w:sz w:val="20"/>
                <w:szCs w:val="20"/>
                <w:lang w:val="en-US"/>
              </w:rPr>
              <w:t xml:space="preserve"> KF.</w:t>
            </w:r>
          </w:p>
        </w:tc>
      </w:tr>
      <w:tr w:rsidR="002B00AE" w:rsidRPr="002B00AE" w14:paraId="6392D24E" w14:textId="77777777" w:rsidTr="000962E5">
        <w:trPr>
          <w:trHeight w:val="1785"/>
        </w:trPr>
        <w:tc>
          <w:tcPr>
            <w:tcW w:w="2515" w:type="dxa"/>
            <w:hideMark/>
          </w:tcPr>
          <w:p w14:paraId="5D2A823F"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Pharmacogenetic testing could save millions</w:t>
            </w:r>
          </w:p>
        </w:tc>
        <w:tc>
          <w:tcPr>
            <w:tcW w:w="3150" w:type="dxa"/>
            <w:hideMark/>
          </w:tcPr>
          <w:p w14:paraId="42D38E04" w14:textId="77777777" w:rsidR="002B00AE" w:rsidRPr="002B00AE" w:rsidRDefault="000962E5" w:rsidP="002B00AE">
            <w:pPr>
              <w:rPr>
                <w:rFonts w:ascii="Arial" w:eastAsia="Times New Roman" w:hAnsi="Arial" w:cs="Arial"/>
                <w:sz w:val="20"/>
                <w:szCs w:val="20"/>
                <w:lang w:val="en-US"/>
              </w:rPr>
            </w:pPr>
            <w:hyperlink r:id="rId13" w:tgtFrame="_parent" w:history="1">
              <w:r w:rsidR="002B00AE" w:rsidRPr="002B00AE">
                <w:rPr>
                  <w:rFonts w:ascii="Arial" w:eastAsia="Times New Roman" w:hAnsi="Arial" w:cs="Arial"/>
                  <w:sz w:val="20"/>
                  <w:szCs w:val="20"/>
                  <w:lang w:val="en-US"/>
                </w:rPr>
                <w:t>https://frontlinegenomics.com/pharmacogenetic-testing-could-save-millions/</w:t>
              </w:r>
            </w:hyperlink>
          </w:p>
        </w:tc>
        <w:tc>
          <w:tcPr>
            <w:tcW w:w="1530" w:type="dxa"/>
            <w:hideMark/>
          </w:tcPr>
          <w:p w14:paraId="48FC153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Front Line Genomics</w:t>
            </w:r>
          </w:p>
        </w:tc>
        <w:tc>
          <w:tcPr>
            <w:tcW w:w="990" w:type="dxa"/>
            <w:hideMark/>
          </w:tcPr>
          <w:p w14:paraId="09C65F5C"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1A44FC61"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To do this, the team calculated quantitative estimates of the volumes of medicine dispensed annually with a Clinical Pharmacogenetics Implementation Consortium (CPIC) and/or Dutch Pharmacogenetic Working Group (DPWG) recommendation and affected by aberrant phenotypes.</w:t>
            </w:r>
          </w:p>
        </w:tc>
      </w:tr>
      <w:tr w:rsidR="002B00AE" w:rsidRPr="002B00AE" w14:paraId="4DB065E3" w14:textId="77777777" w:rsidTr="000962E5">
        <w:trPr>
          <w:trHeight w:val="1530"/>
        </w:trPr>
        <w:tc>
          <w:tcPr>
            <w:tcW w:w="2515" w:type="dxa"/>
            <w:hideMark/>
          </w:tcPr>
          <w:p w14:paraId="129AD59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Genomic Visions: Where Are We Now?</w:t>
            </w:r>
          </w:p>
        </w:tc>
        <w:tc>
          <w:tcPr>
            <w:tcW w:w="3150" w:type="dxa"/>
            <w:hideMark/>
          </w:tcPr>
          <w:p w14:paraId="59013190" w14:textId="77777777" w:rsidR="002B00AE" w:rsidRPr="002B00AE" w:rsidRDefault="000962E5" w:rsidP="002B00AE">
            <w:pPr>
              <w:rPr>
                <w:rFonts w:ascii="Arial" w:eastAsia="Times New Roman" w:hAnsi="Arial" w:cs="Arial"/>
                <w:sz w:val="20"/>
                <w:szCs w:val="20"/>
                <w:lang w:val="en-US"/>
              </w:rPr>
            </w:pPr>
            <w:hyperlink r:id="rId14" w:tgtFrame="_parent" w:history="1">
              <w:r w:rsidR="002B00AE" w:rsidRPr="002B00AE">
                <w:rPr>
                  <w:rFonts w:ascii="Arial" w:eastAsia="Times New Roman" w:hAnsi="Arial" w:cs="Arial"/>
                  <w:sz w:val="20"/>
                  <w:szCs w:val="20"/>
                  <w:lang w:val="en-US"/>
                </w:rPr>
                <w:t>https://www.genengnews.com/insights/genomic-visions-where-are-we-now/</w:t>
              </w:r>
            </w:hyperlink>
          </w:p>
        </w:tc>
        <w:tc>
          <w:tcPr>
            <w:tcW w:w="1530" w:type="dxa"/>
            <w:hideMark/>
          </w:tcPr>
          <w:p w14:paraId="1DD73922"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Genetic Engineering &amp; Biotechnology News</w:t>
            </w:r>
          </w:p>
        </w:tc>
        <w:tc>
          <w:tcPr>
            <w:tcW w:w="990" w:type="dxa"/>
            <w:hideMark/>
          </w:tcPr>
          <w:p w14:paraId="64B77C54"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6E299E72"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Groups like the Clinical Pharmacogenetics Implementation Consortium have tried to address this need by providing freely available, evidence-based guidelines on how to use genetic tests to guide prescribing.</w:t>
            </w:r>
          </w:p>
        </w:tc>
      </w:tr>
      <w:tr w:rsidR="002B00AE" w:rsidRPr="002B00AE" w14:paraId="53212C09" w14:textId="77777777" w:rsidTr="000962E5">
        <w:trPr>
          <w:trHeight w:val="1785"/>
        </w:trPr>
        <w:tc>
          <w:tcPr>
            <w:tcW w:w="2515" w:type="dxa"/>
            <w:hideMark/>
          </w:tcPr>
          <w:p w14:paraId="034193A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Standardizing genotyping assays</w:t>
            </w:r>
          </w:p>
        </w:tc>
        <w:tc>
          <w:tcPr>
            <w:tcW w:w="3150" w:type="dxa"/>
            <w:hideMark/>
          </w:tcPr>
          <w:p w14:paraId="05CA2D83" w14:textId="77777777" w:rsidR="002B00AE" w:rsidRPr="002B00AE" w:rsidRDefault="000962E5" w:rsidP="002B00AE">
            <w:pPr>
              <w:rPr>
                <w:rFonts w:ascii="Arial" w:eastAsia="Times New Roman" w:hAnsi="Arial" w:cs="Arial"/>
                <w:sz w:val="20"/>
                <w:szCs w:val="20"/>
                <w:lang w:val="en-US"/>
              </w:rPr>
            </w:pPr>
            <w:hyperlink r:id="rId15" w:tgtFrame="_parent" w:history="1">
              <w:r w:rsidR="002B00AE" w:rsidRPr="002B00AE">
                <w:rPr>
                  <w:rFonts w:ascii="Arial" w:eastAsia="Times New Roman" w:hAnsi="Arial" w:cs="Arial"/>
                  <w:sz w:val="20"/>
                  <w:szCs w:val="20"/>
                  <w:lang w:val="en-US"/>
                </w:rPr>
                <w:t>https://www.mlo-online.com/molecular/genomics/article/21230909/standardizing-genotyping-assays</w:t>
              </w:r>
            </w:hyperlink>
          </w:p>
        </w:tc>
        <w:tc>
          <w:tcPr>
            <w:tcW w:w="1530" w:type="dxa"/>
            <w:hideMark/>
          </w:tcPr>
          <w:p w14:paraId="3840A4C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Medical Laboratory Observer</w:t>
            </w:r>
          </w:p>
        </w:tc>
        <w:tc>
          <w:tcPr>
            <w:tcW w:w="990" w:type="dxa"/>
            <w:hideMark/>
          </w:tcPr>
          <w:p w14:paraId="22FE3AE1"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0E259711"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To do so, it is working with other professional organizations, including the College of American Pathologists and the Clinical Pharmacogenetics Implementation Consortium. </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Pharmacogenomics is the study of the effect of genomic variations on drugs.</w:t>
            </w:r>
          </w:p>
        </w:tc>
      </w:tr>
      <w:tr w:rsidR="002B00AE" w:rsidRPr="002B00AE" w14:paraId="27477664" w14:textId="77777777" w:rsidTr="000962E5">
        <w:trPr>
          <w:trHeight w:val="2040"/>
        </w:trPr>
        <w:tc>
          <w:tcPr>
            <w:tcW w:w="2515" w:type="dxa"/>
            <w:hideMark/>
          </w:tcPr>
          <w:p w14:paraId="3AA32C56"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AMP issues recommendations on clinical CYP2D6 genotype testing</w:t>
            </w:r>
          </w:p>
        </w:tc>
        <w:tc>
          <w:tcPr>
            <w:tcW w:w="3150" w:type="dxa"/>
            <w:hideMark/>
          </w:tcPr>
          <w:p w14:paraId="20E8BBA2" w14:textId="77777777" w:rsidR="002B00AE" w:rsidRPr="002B00AE" w:rsidRDefault="000962E5" w:rsidP="002B00AE">
            <w:pPr>
              <w:rPr>
                <w:rFonts w:ascii="Arial" w:eastAsia="Times New Roman" w:hAnsi="Arial" w:cs="Arial"/>
                <w:sz w:val="20"/>
                <w:szCs w:val="20"/>
                <w:lang w:val="en-US"/>
              </w:rPr>
            </w:pPr>
            <w:hyperlink r:id="rId16" w:tgtFrame="_parent" w:history="1">
              <w:r w:rsidR="002B00AE" w:rsidRPr="002B00AE">
                <w:rPr>
                  <w:rFonts w:ascii="Arial" w:eastAsia="Times New Roman" w:hAnsi="Arial" w:cs="Arial"/>
                  <w:sz w:val="20"/>
                  <w:szCs w:val="20"/>
                  <w:lang w:val="en-US"/>
                </w:rPr>
                <w:t>https://www.mlo-online.com/molecular/genomics/article/21226374/amp-issues-recommendations-on-clinical-cyp2d6-genotype-testing</w:t>
              </w:r>
            </w:hyperlink>
          </w:p>
        </w:tc>
        <w:tc>
          <w:tcPr>
            <w:tcW w:w="1530" w:type="dxa"/>
            <w:hideMark/>
          </w:tcPr>
          <w:p w14:paraId="1B72E7E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Medical Laboratory Observer</w:t>
            </w:r>
          </w:p>
        </w:tc>
        <w:tc>
          <w:tcPr>
            <w:tcW w:w="990" w:type="dxa"/>
            <w:hideMark/>
          </w:tcPr>
          <w:p w14:paraId="22376FA6"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43C2E7E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recommendations should be implemented together with other relevant clinical guidelines such as those issued by the Clinical Pharmacogenetics Implementation Consortium (CPIC), Dutch Pharmacogenetics Working Group (DPWG), Canadian Pharmacogenomics Network for Drug Safety (CPNDS), and the American College</w:t>
            </w:r>
          </w:p>
        </w:tc>
      </w:tr>
      <w:tr w:rsidR="002B00AE" w:rsidRPr="002B00AE" w14:paraId="635C45DC" w14:textId="77777777" w:rsidTr="000962E5">
        <w:trPr>
          <w:trHeight w:val="2040"/>
        </w:trPr>
        <w:tc>
          <w:tcPr>
            <w:tcW w:w="2515" w:type="dxa"/>
            <w:hideMark/>
          </w:tcPr>
          <w:p w14:paraId="7B959C43"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Association recommends minimum set of pharmacogenetic alleles to guide clinical CYP2D6 genotype testing</w:t>
            </w:r>
          </w:p>
        </w:tc>
        <w:tc>
          <w:tcPr>
            <w:tcW w:w="3150" w:type="dxa"/>
            <w:hideMark/>
          </w:tcPr>
          <w:p w14:paraId="3598B08D" w14:textId="77777777" w:rsidR="002B00AE" w:rsidRPr="002B00AE" w:rsidRDefault="000962E5" w:rsidP="002B00AE">
            <w:pPr>
              <w:rPr>
                <w:rFonts w:ascii="Arial" w:eastAsia="Times New Roman" w:hAnsi="Arial" w:cs="Arial"/>
                <w:sz w:val="20"/>
                <w:szCs w:val="20"/>
                <w:lang w:val="en-US"/>
              </w:rPr>
            </w:pPr>
            <w:hyperlink r:id="rId17" w:tgtFrame="_parent" w:history="1">
              <w:r w:rsidR="002B00AE" w:rsidRPr="002B00AE">
                <w:rPr>
                  <w:rFonts w:ascii="Arial" w:eastAsia="Times New Roman" w:hAnsi="Arial" w:cs="Arial"/>
                  <w:sz w:val="20"/>
                  <w:szCs w:val="20"/>
                  <w:lang w:val="en-US"/>
                </w:rPr>
                <w:t>https://medicalxpress.com/news/2021-06-association-minimum-pharmacogenetic-alleles-clinical.html</w:t>
              </w:r>
            </w:hyperlink>
          </w:p>
        </w:tc>
        <w:tc>
          <w:tcPr>
            <w:tcW w:w="1530" w:type="dxa"/>
            <w:hideMark/>
          </w:tcPr>
          <w:p w14:paraId="3DB9CE9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Medical Xpress</w:t>
            </w:r>
          </w:p>
        </w:tc>
        <w:tc>
          <w:tcPr>
            <w:tcW w:w="990" w:type="dxa"/>
            <w:hideMark/>
          </w:tcPr>
          <w:p w14:paraId="1C3747A1"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0FC3BDFD"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recommendations should be implemented together with other relevant clinical guidelines such as those issued by the Clinical Pharmacogenetics Implementation Consortium (CPIC), Dutch Pharmacogenetics Working Group (DPWG), Canadian Pharmacogenomics Network for Drug Safety (CPNDS), and the American College</w:t>
            </w:r>
          </w:p>
        </w:tc>
      </w:tr>
      <w:tr w:rsidR="002B00AE" w:rsidRPr="002B00AE" w14:paraId="70E416E8" w14:textId="77777777" w:rsidTr="000962E5">
        <w:trPr>
          <w:trHeight w:val="2040"/>
        </w:trPr>
        <w:tc>
          <w:tcPr>
            <w:tcW w:w="2515" w:type="dxa"/>
            <w:hideMark/>
          </w:tcPr>
          <w:p w14:paraId="65F0F68A"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AMP’s new consensus can promote standardization of PGx gene/allele testing, improve patient care</w:t>
            </w:r>
          </w:p>
        </w:tc>
        <w:tc>
          <w:tcPr>
            <w:tcW w:w="3150" w:type="dxa"/>
            <w:hideMark/>
          </w:tcPr>
          <w:p w14:paraId="682F025E" w14:textId="77777777" w:rsidR="002B00AE" w:rsidRPr="002B00AE" w:rsidRDefault="000962E5" w:rsidP="002B00AE">
            <w:pPr>
              <w:rPr>
                <w:rFonts w:ascii="Arial" w:eastAsia="Times New Roman" w:hAnsi="Arial" w:cs="Arial"/>
                <w:sz w:val="20"/>
                <w:szCs w:val="20"/>
                <w:lang w:val="en-US"/>
              </w:rPr>
            </w:pPr>
            <w:hyperlink r:id="rId18" w:tgtFrame="_parent" w:history="1">
              <w:r w:rsidR="002B00AE" w:rsidRPr="002B00AE">
                <w:rPr>
                  <w:rFonts w:ascii="Arial" w:eastAsia="Times New Roman" w:hAnsi="Arial" w:cs="Arial"/>
                  <w:sz w:val="20"/>
                  <w:szCs w:val="20"/>
                  <w:lang w:val="en-US"/>
                </w:rPr>
                <w:t>https://www.news-medical.net/news/20210611/AMPe28099s-new-consensus-can-promote-standardization-of-PGx-geneallele-testing-improve-patient-care.aspx</w:t>
              </w:r>
            </w:hyperlink>
          </w:p>
        </w:tc>
        <w:tc>
          <w:tcPr>
            <w:tcW w:w="1530" w:type="dxa"/>
            <w:hideMark/>
          </w:tcPr>
          <w:p w14:paraId="6E7AC21D"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News Medical</w:t>
            </w:r>
          </w:p>
        </w:tc>
        <w:tc>
          <w:tcPr>
            <w:tcW w:w="990" w:type="dxa"/>
            <w:hideMark/>
          </w:tcPr>
          <w:p w14:paraId="7675B6F0"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1CF7FE50"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recommendations should be implemented together with other relevant clinical guidelines such as those issued by the Clinical Pharmacogenetics Implementation Consortium (CPIC), Dutch Pharmacogenetics Working Group (DPWG), Canadian Pharmacogenomics Network for Drug Safety (CPNDS), and the American College</w:t>
            </w:r>
          </w:p>
        </w:tc>
      </w:tr>
      <w:tr w:rsidR="002B00AE" w:rsidRPr="002B00AE" w14:paraId="29F0E748" w14:textId="77777777" w:rsidTr="000962E5">
        <w:trPr>
          <w:trHeight w:val="1020"/>
        </w:trPr>
        <w:tc>
          <w:tcPr>
            <w:tcW w:w="2515" w:type="dxa"/>
            <w:hideMark/>
          </w:tcPr>
          <w:p w14:paraId="794FA5EF"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Opioid Therapy, CYP2D6 Metabolism, and Genetic Testing</w:t>
            </w:r>
          </w:p>
        </w:tc>
        <w:tc>
          <w:tcPr>
            <w:tcW w:w="3150" w:type="dxa"/>
            <w:hideMark/>
          </w:tcPr>
          <w:p w14:paraId="7F9DB223" w14:textId="77777777" w:rsidR="002B00AE" w:rsidRPr="002B00AE" w:rsidRDefault="000962E5" w:rsidP="002B00AE">
            <w:pPr>
              <w:rPr>
                <w:rFonts w:ascii="Arial" w:eastAsia="Times New Roman" w:hAnsi="Arial" w:cs="Arial"/>
                <w:sz w:val="20"/>
                <w:szCs w:val="20"/>
                <w:lang w:val="en-US"/>
              </w:rPr>
            </w:pPr>
            <w:hyperlink r:id="rId19" w:tgtFrame="_parent" w:history="1">
              <w:r w:rsidR="002B00AE" w:rsidRPr="002B00AE">
                <w:rPr>
                  <w:rFonts w:ascii="Arial" w:eastAsia="Times New Roman" w:hAnsi="Arial" w:cs="Arial"/>
                  <w:sz w:val="20"/>
                  <w:szCs w:val="20"/>
                  <w:lang w:val="en-US"/>
                </w:rPr>
                <w:t>https://www.practicalpainmanagement.com/treatments/pharmacological/opioids/optimizing-opioid-therapy-pharmacogenetics</w:t>
              </w:r>
            </w:hyperlink>
          </w:p>
        </w:tc>
        <w:tc>
          <w:tcPr>
            <w:tcW w:w="1530" w:type="dxa"/>
            <w:hideMark/>
          </w:tcPr>
          <w:p w14:paraId="5FC7F3B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Practical Pain Management</w:t>
            </w:r>
          </w:p>
        </w:tc>
        <w:tc>
          <w:tcPr>
            <w:tcW w:w="990" w:type="dxa"/>
            <w:hideMark/>
          </w:tcPr>
          <w:p w14:paraId="14DD3E7F"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06B35C8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Clinical Pharmacogenetics Implementation Consortium (CPIC)* recently published a clinical practice guideline on the use of pharmacogenetic information for opioid therapy for pain control.</w:t>
            </w:r>
          </w:p>
        </w:tc>
      </w:tr>
      <w:tr w:rsidR="002B00AE" w:rsidRPr="002B00AE" w14:paraId="6E5F81AD" w14:textId="77777777" w:rsidTr="000962E5">
        <w:trPr>
          <w:trHeight w:val="2040"/>
        </w:trPr>
        <w:tc>
          <w:tcPr>
            <w:tcW w:w="2515" w:type="dxa"/>
            <w:hideMark/>
          </w:tcPr>
          <w:p w14:paraId="19E578E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Minimum Set of Alleles Recommended to Guide CYP2D6 Genotype Testing</w:t>
            </w:r>
          </w:p>
        </w:tc>
        <w:tc>
          <w:tcPr>
            <w:tcW w:w="3150" w:type="dxa"/>
            <w:hideMark/>
          </w:tcPr>
          <w:p w14:paraId="135BA476" w14:textId="77777777" w:rsidR="002B00AE" w:rsidRPr="002B00AE" w:rsidRDefault="000962E5" w:rsidP="002B00AE">
            <w:pPr>
              <w:rPr>
                <w:rFonts w:ascii="Arial" w:eastAsia="Times New Roman" w:hAnsi="Arial" w:cs="Arial"/>
                <w:sz w:val="20"/>
                <w:szCs w:val="20"/>
                <w:lang w:val="en-US"/>
              </w:rPr>
            </w:pPr>
            <w:hyperlink r:id="rId20" w:tgtFrame="_parent" w:history="1">
              <w:r w:rsidR="002B00AE" w:rsidRPr="002B00AE">
                <w:rPr>
                  <w:rFonts w:ascii="Arial" w:eastAsia="Times New Roman" w:hAnsi="Arial" w:cs="Arial"/>
                  <w:sz w:val="20"/>
                  <w:szCs w:val="20"/>
                  <w:lang w:val="en-US"/>
                </w:rPr>
                <w:t>https://www.clinicallabmanager.com/news/minimum-set-of-alleles-recomended-to-guide-clinical-em-cyp2d6-em-genotype-testing-25723</w:t>
              </w:r>
            </w:hyperlink>
          </w:p>
        </w:tc>
        <w:tc>
          <w:tcPr>
            <w:tcW w:w="1530" w:type="dxa"/>
            <w:hideMark/>
          </w:tcPr>
          <w:p w14:paraId="3DC1105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Today's Clinical Lab</w:t>
            </w:r>
          </w:p>
        </w:tc>
        <w:tc>
          <w:tcPr>
            <w:tcW w:w="990" w:type="dxa"/>
            <w:hideMark/>
          </w:tcPr>
          <w:p w14:paraId="329CD2C4"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2021</w:t>
            </w:r>
          </w:p>
        </w:tc>
        <w:tc>
          <w:tcPr>
            <w:tcW w:w="4765" w:type="dxa"/>
            <w:hideMark/>
          </w:tcPr>
          <w:p w14:paraId="454E780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recommendations should be implemented together with other relevant clinical guidelines such as those issued by the Clinical Pharmacogenetics Implementation Consortium (CPIC), Dutch Pharmacogenetics Working Group (DPWG), Canadian Pharmacogenomics Network for Drug Safety (CPNDS), and the American College</w:t>
            </w:r>
          </w:p>
        </w:tc>
      </w:tr>
      <w:tr w:rsidR="002B00AE" w:rsidRPr="002B00AE" w14:paraId="7F959538" w14:textId="77777777" w:rsidTr="000962E5">
        <w:trPr>
          <w:trHeight w:val="4335"/>
        </w:trPr>
        <w:tc>
          <w:tcPr>
            <w:tcW w:w="2515" w:type="dxa"/>
            <w:hideMark/>
          </w:tcPr>
          <w:p w14:paraId="60FEC19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 New Rapid genomic testing at Manchester University NHS Foundation Trust hospitals prevents at-risk neonates from potential lifelong hearing loss  | </w:t>
            </w:r>
            <w:proofErr w:type="spellStart"/>
            <w:r w:rsidRPr="002B00AE">
              <w:rPr>
                <w:rFonts w:ascii="Arial" w:eastAsia="Times New Roman" w:hAnsi="Arial" w:cs="Arial"/>
                <w:sz w:val="20"/>
                <w:szCs w:val="20"/>
                <w:lang w:val="en-US"/>
              </w:rPr>
              <w:t>BioSpace</w:t>
            </w:r>
            <w:proofErr w:type="spellEnd"/>
          </w:p>
        </w:tc>
        <w:tc>
          <w:tcPr>
            <w:tcW w:w="3150" w:type="dxa"/>
            <w:hideMark/>
          </w:tcPr>
          <w:p w14:paraId="28555529" w14:textId="77777777" w:rsidR="002B00AE" w:rsidRPr="002B00AE" w:rsidRDefault="000962E5" w:rsidP="002B00AE">
            <w:pPr>
              <w:rPr>
                <w:rFonts w:ascii="Arial" w:eastAsia="Times New Roman" w:hAnsi="Arial" w:cs="Arial"/>
                <w:sz w:val="20"/>
                <w:szCs w:val="20"/>
                <w:lang w:val="en-US"/>
              </w:rPr>
            </w:pPr>
            <w:hyperlink r:id="rId21" w:tgtFrame="_parent" w:history="1">
              <w:r w:rsidR="002B00AE" w:rsidRPr="002B00AE">
                <w:rPr>
                  <w:rFonts w:ascii="Arial" w:eastAsia="Times New Roman" w:hAnsi="Arial" w:cs="Arial"/>
                  <w:sz w:val="20"/>
                  <w:szCs w:val="20"/>
                  <w:lang w:val="en-US"/>
                </w:rPr>
                <w:t>https://www.biospace.com/article/-new-rapid-genomic-testing-at-manchester-university-nhs-foundation-trust-hospitals-prevents-at-risk-neonates-from-potential-lifelong-hearing-loss-/</w:t>
              </w:r>
            </w:hyperlink>
          </w:p>
        </w:tc>
        <w:tc>
          <w:tcPr>
            <w:tcW w:w="1530" w:type="dxa"/>
            <w:hideMark/>
          </w:tcPr>
          <w:p w14:paraId="6CB0CC2D"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BioSpace</w:t>
            </w:r>
            <w:proofErr w:type="spellEnd"/>
          </w:p>
        </w:tc>
        <w:tc>
          <w:tcPr>
            <w:tcW w:w="990" w:type="dxa"/>
            <w:hideMark/>
          </w:tcPr>
          <w:p w14:paraId="5595C2B9"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6D5C0E1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Approximately 1 in 500 babies have the m.1555A&gt;G genetic variant.1</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In non-acute clinical cases, guidance from the Clinical Pharmacogenetics Implementation Consortium (CPIC) and from the UK Medicines and Healthcare Regulatory Agency (MHRA) already recommends that genetic testing is carried</w:t>
            </w:r>
          </w:p>
        </w:tc>
      </w:tr>
      <w:tr w:rsidR="002B00AE" w:rsidRPr="002B00AE" w14:paraId="4E003FAF" w14:textId="77777777" w:rsidTr="000962E5">
        <w:trPr>
          <w:trHeight w:val="1275"/>
        </w:trPr>
        <w:tc>
          <w:tcPr>
            <w:tcW w:w="2515" w:type="dxa"/>
            <w:hideMark/>
          </w:tcPr>
          <w:p w14:paraId="288A71C4"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Tracking the Scientific Literature on the Impact of Pharmacogenomics on Clinical Practice and Public Health</w:t>
            </w:r>
          </w:p>
        </w:tc>
        <w:tc>
          <w:tcPr>
            <w:tcW w:w="3150" w:type="dxa"/>
            <w:hideMark/>
          </w:tcPr>
          <w:p w14:paraId="623B3FBF"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https://blogs.cdc.gov/genomics/2022/04/04/tracking-the-scientific/</w:t>
            </w:r>
          </w:p>
        </w:tc>
        <w:tc>
          <w:tcPr>
            <w:tcW w:w="1530" w:type="dxa"/>
            <w:hideMark/>
          </w:tcPr>
          <w:p w14:paraId="16097089"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CDC</w:t>
            </w:r>
          </w:p>
        </w:tc>
        <w:tc>
          <w:tcPr>
            <w:tcW w:w="990" w:type="dxa"/>
            <w:hideMark/>
          </w:tcPr>
          <w:p w14:paraId="032EEBB3"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3A14E0C9"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To date, CPIC has published 26 clinical practice guidelines addressing a multitude of gene-drug interactions.</w:t>
            </w:r>
          </w:p>
        </w:tc>
      </w:tr>
      <w:tr w:rsidR="002B00AE" w:rsidRPr="002B00AE" w14:paraId="53C07E1C" w14:textId="77777777" w:rsidTr="000962E5">
        <w:trPr>
          <w:trHeight w:val="765"/>
        </w:trPr>
        <w:tc>
          <w:tcPr>
            <w:tcW w:w="2515" w:type="dxa"/>
            <w:hideMark/>
          </w:tcPr>
          <w:p w14:paraId="7A98040C" w14:textId="77777777" w:rsidR="002B00AE" w:rsidRPr="002B00AE" w:rsidRDefault="002B00AE" w:rsidP="002B00AE">
            <w:pPr>
              <w:rPr>
                <w:rFonts w:ascii="Arial" w:eastAsia="Times New Roman" w:hAnsi="Arial" w:cs="Arial"/>
                <w:color w:val="1155CC"/>
                <w:sz w:val="20"/>
                <w:szCs w:val="20"/>
                <w:u w:val="single"/>
                <w:lang w:val="en-US"/>
              </w:rPr>
            </w:pPr>
            <w:r w:rsidRPr="002B00AE">
              <w:rPr>
                <w:rFonts w:ascii="Arial" w:eastAsia="Times New Roman" w:hAnsi="Arial" w:cs="Arial"/>
                <w:color w:val="1155CC"/>
                <w:sz w:val="20"/>
                <w:szCs w:val="20"/>
                <w:u w:val="single"/>
                <w:lang w:val="en-US"/>
              </w:rPr>
              <w:t>Pharmacogenomics: What does it mean for your health?</w:t>
            </w:r>
          </w:p>
        </w:tc>
        <w:tc>
          <w:tcPr>
            <w:tcW w:w="3150" w:type="dxa"/>
            <w:hideMark/>
          </w:tcPr>
          <w:p w14:paraId="34E03AA5"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https://www.cdc.gov/genomics/disease/pharma.htm</w:t>
            </w:r>
          </w:p>
        </w:tc>
        <w:tc>
          <w:tcPr>
            <w:tcW w:w="1530" w:type="dxa"/>
            <w:hideMark/>
          </w:tcPr>
          <w:p w14:paraId="1936903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CDC</w:t>
            </w:r>
          </w:p>
        </w:tc>
        <w:tc>
          <w:tcPr>
            <w:tcW w:w="990" w:type="dxa"/>
            <w:hideMark/>
          </w:tcPr>
          <w:p w14:paraId="5D46E093"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03223E66"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CPIC as resource</w:t>
            </w:r>
          </w:p>
        </w:tc>
      </w:tr>
      <w:tr w:rsidR="002B00AE" w:rsidRPr="002B00AE" w14:paraId="097044B3" w14:textId="77777777" w:rsidTr="000962E5">
        <w:trPr>
          <w:trHeight w:val="1785"/>
        </w:trPr>
        <w:tc>
          <w:tcPr>
            <w:tcW w:w="2515" w:type="dxa"/>
            <w:hideMark/>
          </w:tcPr>
          <w:p w14:paraId="1AB2D4B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The Case For Preemptive, Sequence-Based Pharmacogenomics Testing</w:t>
            </w:r>
          </w:p>
        </w:tc>
        <w:tc>
          <w:tcPr>
            <w:tcW w:w="3150" w:type="dxa"/>
            <w:hideMark/>
          </w:tcPr>
          <w:p w14:paraId="5997211C" w14:textId="77777777" w:rsidR="002B00AE" w:rsidRPr="002B00AE" w:rsidRDefault="000962E5" w:rsidP="002B00AE">
            <w:pPr>
              <w:rPr>
                <w:rFonts w:ascii="Arial" w:eastAsia="Times New Roman" w:hAnsi="Arial" w:cs="Arial"/>
                <w:sz w:val="20"/>
                <w:szCs w:val="20"/>
                <w:lang w:val="en-US"/>
              </w:rPr>
            </w:pPr>
            <w:hyperlink r:id="rId22" w:tgtFrame="_parent" w:history="1">
              <w:r w:rsidR="002B00AE" w:rsidRPr="002B00AE">
                <w:rPr>
                  <w:rFonts w:ascii="Arial" w:eastAsia="Times New Roman" w:hAnsi="Arial" w:cs="Arial"/>
                  <w:sz w:val="20"/>
                  <w:szCs w:val="20"/>
                  <w:lang w:val="en-US"/>
                </w:rPr>
                <w:t>https://www.diagnosticsworldnews.com/news/2022/05/03/the-case-for-preemptive-sequence-based-pharmacogenomics-testing</w:t>
              </w:r>
            </w:hyperlink>
          </w:p>
        </w:tc>
        <w:tc>
          <w:tcPr>
            <w:tcW w:w="1530" w:type="dxa"/>
            <w:hideMark/>
          </w:tcPr>
          <w:p w14:paraId="15DE049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Diagnostics World</w:t>
            </w:r>
          </w:p>
        </w:tc>
        <w:tc>
          <w:tcPr>
            <w:tcW w:w="990" w:type="dxa"/>
            <w:hideMark/>
          </w:tcPr>
          <w:p w14:paraId="0162F165"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4BD36FAE"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original list of the 77 targets came from evidence-based guidelines of the Clinical Pharmacogenetics Implementation Consortium, which examines data in support of the clinical utility of pharmacogenomic markers, where the organization has achieved consensus with its European counterpart, the Dutch</w:t>
            </w:r>
          </w:p>
        </w:tc>
      </w:tr>
      <w:tr w:rsidR="002B00AE" w:rsidRPr="002B00AE" w14:paraId="02B95FC8" w14:textId="77777777" w:rsidTr="000962E5">
        <w:trPr>
          <w:trHeight w:val="1530"/>
        </w:trPr>
        <w:tc>
          <w:tcPr>
            <w:tcW w:w="2515" w:type="dxa"/>
            <w:hideMark/>
          </w:tcPr>
          <w:p w14:paraId="330847D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Meditech Installs EHR Genomics Add-on at Health Systems in Pursuit of Precision Medicine</w:t>
            </w:r>
          </w:p>
        </w:tc>
        <w:tc>
          <w:tcPr>
            <w:tcW w:w="3150" w:type="dxa"/>
            <w:hideMark/>
          </w:tcPr>
          <w:p w14:paraId="5FB8E183" w14:textId="77777777" w:rsidR="002B00AE" w:rsidRPr="002B00AE" w:rsidRDefault="000962E5" w:rsidP="002B00AE">
            <w:pPr>
              <w:rPr>
                <w:rFonts w:ascii="Arial" w:eastAsia="Times New Roman" w:hAnsi="Arial" w:cs="Arial"/>
                <w:sz w:val="20"/>
                <w:szCs w:val="20"/>
                <w:lang w:val="en-US"/>
              </w:rPr>
            </w:pPr>
            <w:hyperlink r:id="rId23" w:tgtFrame="_parent" w:history="1">
              <w:r w:rsidR="002B00AE" w:rsidRPr="002B00AE">
                <w:rPr>
                  <w:rFonts w:ascii="Arial" w:eastAsia="Times New Roman" w:hAnsi="Arial" w:cs="Arial"/>
                  <w:sz w:val="20"/>
                  <w:szCs w:val="20"/>
                  <w:lang w:val="en-US"/>
                </w:rPr>
                <w:t>https://www.genomeweb.com/informatics/meditech-installs-ehr-genomics-add-health-systems-pursuit-precision-medicine</w:t>
              </w:r>
            </w:hyperlink>
          </w:p>
        </w:tc>
        <w:tc>
          <w:tcPr>
            <w:tcW w:w="1530" w:type="dxa"/>
            <w:hideMark/>
          </w:tcPr>
          <w:p w14:paraId="52B059B2"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GenomeWeb</w:t>
            </w:r>
            <w:proofErr w:type="spellEnd"/>
          </w:p>
        </w:tc>
        <w:tc>
          <w:tcPr>
            <w:tcW w:w="990" w:type="dxa"/>
            <w:hideMark/>
          </w:tcPr>
          <w:p w14:paraId="526DEC36"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5E0BB8B2"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Fearing recalled performing a pharmacogenomics demonstration for a psychiatry hospital when the Clinical Pharmacogenetics Implementation Consortium (CPIC) had just changed its guidelines for prescribing the antipsychotic drug Abilify (aripiprazole) minutes earlier.</w:t>
            </w:r>
          </w:p>
        </w:tc>
      </w:tr>
      <w:tr w:rsidR="002B00AE" w:rsidRPr="002B00AE" w14:paraId="12A003B9" w14:textId="77777777" w:rsidTr="000962E5">
        <w:trPr>
          <w:trHeight w:val="1275"/>
        </w:trPr>
        <w:tc>
          <w:tcPr>
            <w:tcW w:w="2515" w:type="dxa"/>
            <w:hideMark/>
          </w:tcPr>
          <w:p w14:paraId="1C9C2A5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Mayo Clinic Study Bolsters Implementation of PGx Data in Clinical Practice</w:t>
            </w:r>
          </w:p>
        </w:tc>
        <w:tc>
          <w:tcPr>
            <w:tcW w:w="3150" w:type="dxa"/>
            <w:hideMark/>
          </w:tcPr>
          <w:p w14:paraId="2E11054E" w14:textId="77777777" w:rsidR="002B00AE" w:rsidRPr="002B00AE" w:rsidRDefault="000962E5" w:rsidP="002B00AE">
            <w:pPr>
              <w:rPr>
                <w:rFonts w:ascii="Arial" w:eastAsia="Times New Roman" w:hAnsi="Arial" w:cs="Arial"/>
                <w:sz w:val="20"/>
                <w:szCs w:val="20"/>
                <w:lang w:val="en-US"/>
              </w:rPr>
            </w:pPr>
            <w:hyperlink r:id="rId24" w:tgtFrame="_parent" w:history="1">
              <w:r w:rsidR="002B00AE" w:rsidRPr="002B00AE">
                <w:rPr>
                  <w:rFonts w:ascii="Arial" w:eastAsia="Times New Roman" w:hAnsi="Arial" w:cs="Arial"/>
                  <w:sz w:val="20"/>
                  <w:szCs w:val="20"/>
                  <w:lang w:val="en-US"/>
                </w:rPr>
                <w:t>https://www.genomeweb.com/molecular-diagnostics/mayo-clinic-study-bolsters-implementation-pgx-data-clinical-practice</w:t>
              </w:r>
            </w:hyperlink>
          </w:p>
        </w:tc>
        <w:tc>
          <w:tcPr>
            <w:tcW w:w="1530" w:type="dxa"/>
            <w:hideMark/>
          </w:tcPr>
          <w:p w14:paraId="5E054691"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GenomeWeb</w:t>
            </w:r>
            <w:proofErr w:type="spellEnd"/>
          </w:p>
        </w:tc>
        <w:tc>
          <w:tcPr>
            <w:tcW w:w="990" w:type="dxa"/>
            <w:hideMark/>
          </w:tcPr>
          <w:p w14:paraId="0B712296"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0E489C4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sequencing panel was designed to target genes that the Clinical Pharmacogenetics Implementation Consortium (CPIC) had published clinical guidelines for and address 21 recognized drug-gene pairs, Scherer said.</w:t>
            </w:r>
          </w:p>
        </w:tc>
      </w:tr>
      <w:tr w:rsidR="002B00AE" w:rsidRPr="002B00AE" w14:paraId="6DFDBEB0" w14:textId="77777777" w:rsidTr="000962E5">
        <w:trPr>
          <w:trHeight w:val="1785"/>
        </w:trPr>
        <w:tc>
          <w:tcPr>
            <w:tcW w:w="2515" w:type="dxa"/>
            <w:hideMark/>
          </w:tcPr>
          <w:p w14:paraId="1FBB7EF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Legislators Introduce Bill Seeking to Raise PGx Awareness, Adoption  </w:t>
            </w:r>
          </w:p>
        </w:tc>
        <w:tc>
          <w:tcPr>
            <w:tcW w:w="3150" w:type="dxa"/>
            <w:hideMark/>
          </w:tcPr>
          <w:p w14:paraId="77028A64" w14:textId="77777777" w:rsidR="002B00AE" w:rsidRPr="002B00AE" w:rsidRDefault="000962E5" w:rsidP="002B00AE">
            <w:pPr>
              <w:rPr>
                <w:rFonts w:ascii="Arial" w:eastAsia="Times New Roman" w:hAnsi="Arial" w:cs="Arial"/>
                <w:sz w:val="20"/>
                <w:szCs w:val="20"/>
                <w:lang w:val="en-US"/>
              </w:rPr>
            </w:pPr>
            <w:hyperlink r:id="rId25" w:tgtFrame="_parent" w:history="1">
              <w:r w:rsidR="002B00AE" w:rsidRPr="002B00AE">
                <w:rPr>
                  <w:rFonts w:ascii="Arial" w:eastAsia="Times New Roman" w:hAnsi="Arial" w:cs="Arial"/>
                  <w:sz w:val="20"/>
                  <w:szCs w:val="20"/>
                  <w:lang w:val="en-US"/>
                </w:rPr>
                <w:t>https://www.genomeweb.com/molecular-diagnostics/legislators-introduce-bill-seeking-raise-pgx-awareness-adoption</w:t>
              </w:r>
            </w:hyperlink>
          </w:p>
        </w:tc>
        <w:tc>
          <w:tcPr>
            <w:tcW w:w="1530" w:type="dxa"/>
            <w:hideMark/>
          </w:tcPr>
          <w:p w14:paraId="3784152A"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GenomeWeb</w:t>
            </w:r>
            <w:proofErr w:type="spellEnd"/>
          </w:p>
        </w:tc>
        <w:tc>
          <w:tcPr>
            <w:tcW w:w="990" w:type="dxa"/>
            <w:hideMark/>
          </w:tcPr>
          <w:p w14:paraId="612CC964"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0E36F911"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"Physicians don't learn about pharmacogenomics in their training, not usually in their didactic courses, and they have very little exposure to it when they're in their residences and even in fellowships," said Kelly Caudle, a co-principal investigator of the Clinical Pharmacogenetics Implementation Consortium</w:t>
            </w:r>
          </w:p>
        </w:tc>
      </w:tr>
      <w:tr w:rsidR="002B00AE" w:rsidRPr="002B00AE" w14:paraId="6800F140" w14:textId="77777777" w:rsidTr="000962E5">
        <w:trPr>
          <w:trHeight w:val="2295"/>
        </w:trPr>
        <w:tc>
          <w:tcPr>
            <w:tcW w:w="2515" w:type="dxa"/>
            <w:hideMark/>
          </w:tcPr>
          <w:p w14:paraId="3A896B03"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New Rapid genomic testing at Manchester University NHS Foundation Trust hospitals prevents at-risk neonates from potential lifelong hearing loss</w:t>
            </w:r>
          </w:p>
        </w:tc>
        <w:tc>
          <w:tcPr>
            <w:tcW w:w="3150" w:type="dxa"/>
            <w:hideMark/>
          </w:tcPr>
          <w:p w14:paraId="44DB1C58" w14:textId="77777777" w:rsidR="002B00AE" w:rsidRPr="002B00AE" w:rsidRDefault="000962E5" w:rsidP="002B00AE">
            <w:pPr>
              <w:rPr>
                <w:rFonts w:ascii="Arial" w:eastAsia="Times New Roman" w:hAnsi="Arial" w:cs="Arial"/>
                <w:sz w:val="20"/>
                <w:szCs w:val="20"/>
                <w:lang w:val="en-US"/>
              </w:rPr>
            </w:pPr>
            <w:hyperlink r:id="rId26" w:tgtFrame="_parent" w:history="1">
              <w:r w:rsidR="002B00AE" w:rsidRPr="002B00AE">
                <w:rPr>
                  <w:rFonts w:ascii="Arial" w:eastAsia="Times New Roman" w:hAnsi="Arial" w:cs="Arial"/>
                  <w:sz w:val="20"/>
                  <w:szCs w:val="20"/>
                  <w:lang w:val="en-US"/>
                </w:rPr>
                <w:t>https://www.healthtechdigital.com/new-rapid-genomic-testing-at-manchester-university-nhs-foundation-trust-hospitals-prevents-at-risk-neonates-from-potential-lifelong-hearing-loss/</w:t>
              </w:r>
            </w:hyperlink>
          </w:p>
        </w:tc>
        <w:tc>
          <w:tcPr>
            <w:tcW w:w="1530" w:type="dxa"/>
            <w:hideMark/>
          </w:tcPr>
          <w:p w14:paraId="24DB3609"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Health Tech Digital</w:t>
            </w:r>
          </w:p>
        </w:tc>
        <w:tc>
          <w:tcPr>
            <w:tcW w:w="990" w:type="dxa"/>
            <w:hideMark/>
          </w:tcPr>
          <w:p w14:paraId="08B4B77D"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17EFDD13"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Approximately 1 in 500 babies have the m.1555A&gt;G genetic variant.1</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In non-acute clinical cases, guidance from the Clinical Pharmacogenetics Implementation Consortium (CPIC) and from the UK Medicines and Healthcare Regulatory Agency (MHRA) already recommends that genetic testing is carried out and that</w:t>
            </w:r>
          </w:p>
        </w:tc>
      </w:tr>
      <w:tr w:rsidR="002B00AE" w:rsidRPr="002B00AE" w14:paraId="02D2E855" w14:textId="77777777" w:rsidTr="000962E5">
        <w:trPr>
          <w:trHeight w:val="2550"/>
        </w:trPr>
        <w:tc>
          <w:tcPr>
            <w:tcW w:w="2515" w:type="dxa"/>
            <w:hideMark/>
          </w:tcPr>
          <w:p w14:paraId="07340BCE"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Leading PGx Resources Show Incongruous Gene-Drug Interactions, Dosing Recommendations</w:t>
            </w:r>
          </w:p>
        </w:tc>
        <w:tc>
          <w:tcPr>
            <w:tcW w:w="3150" w:type="dxa"/>
            <w:hideMark/>
          </w:tcPr>
          <w:p w14:paraId="72B5925C" w14:textId="77777777" w:rsidR="002B00AE" w:rsidRPr="002B00AE" w:rsidRDefault="000962E5" w:rsidP="002B00AE">
            <w:pPr>
              <w:rPr>
                <w:rFonts w:ascii="Arial" w:eastAsia="Times New Roman" w:hAnsi="Arial" w:cs="Arial"/>
                <w:sz w:val="20"/>
                <w:szCs w:val="20"/>
                <w:lang w:val="en-US"/>
              </w:rPr>
            </w:pPr>
            <w:hyperlink r:id="rId27" w:tgtFrame="_parent" w:history="1">
              <w:r w:rsidR="002B00AE" w:rsidRPr="002B00AE">
                <w:rPr>
                  <w:rFonts w:ascii="Arial" w:eastAsia="Times New Roman" w:hAnsi="Arial" w:cs="Arial"/>
                  <w:sz w:val="20"/>
                  <w:szCs w:val="20"/>
                  <w:lang w:val="en-US"/>
                </w:rPr>
                <w:t>https://www.insideprecisionmedicine.com/topics/molecular-dx-topic/pharmacogenomic-testing/leading-pgx-resources-show-incongruous-gene-drug-interactions-dosing-recommendations/</w:t>
              </w:r>
            </w:hyperlink>
          </w:p>
        </w:tc>
        <w:tc>
          <w:tcPr>
            <w:tcW w:w="1530" w:type="dxa"/>
            <w:hideMark/>
          </w:tcPr>
          <w:p w14:paraId="3ABCB9ED"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Inside Precision Medicine</w:t>
            </w:r>
          </w:p>
        </w:tc>
        <w:tc>
          <w:tcPr>
            <w:tcW w:w="990" w:type="dxa"/>
            <w:hideMark/>
          </w:tcPr>
          <w:p w14:paraId="75357F27"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205BF501"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 xml:space="preserve">Credit: </w:t>
            </w:r>
            <w:proofErr w:type="spellStart"/>
            <w:r w:rsidRPr="002B00AE">
              <w:rPr>
                <w:rFonts w:ascii="Arial" w:eastAsia="Times New Roman" w:hAnsi="Arial" w:cs="Arial"/>
                <w:sz w:val="20"/>
                <w:szCs w:val="20"/>
                <w:lang w:val="en-US"/>
              </w:rPr>
              <w:t>krisanapong</w:t>
            </w:r>
            <w:proofErr w:type="spellEnd"/>
            <w:r w:rsidRPr="002B00AE">
              <w:rPr>
                <w:rFonts w:ascii="Arial" w:eastAsia="Times New Roman" w:hAnsi="Arial" w:cs="Arial"/>
                <w:sz w:val="20"/>
                <w:szCs w:val="20"/>
                <w:lang w:val="en-US"/>
              </w:rPr>
              <w:t xml:space="preserve"> </w:t>
            </w:r>
            <w:proofErr w:type="spellStart"/>
            <w:r w:rsidRPr="002B00AE">
              <w:rPr>
                <w:rFonts w:ascii="Arial" w:eastAsia="Times New Roman" w:hAnsi="Arial" w:cs="Arial"/>
                <w:sz w:val="20"/>
                <w:szCs w:val="20"/>
                <w:lang w:val="en-US"/>
              </w:rPr>
              <w:t>detraphiphat</w:t>
            </w:r>
            <w:proofErr w:type="spellEnd"/>
            <w:r w:rsidRPr="002B00AE">
              <w:rPr>
                <w:rFonts w:ascii="Arial" w:eastAsia="Times New Roman" w:hAnsi="Arial" w:cs="Arial"/>
                <w:sz w:val="20"/>
                <w:szCs w:val="20"/>
                <w:lang w:val="en-US"/>
              </w:rPr>
              <w:t>/Getty</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 xml:space="preserve"> </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Only five of the 126 drugs that were listed by both the FDA’s Table of Pharmacogenetic Associations and those listed by the Clinical Pharmacogenetics Implementation Consortium (CPIC) showed the same drug-gene associations and dosing implications.</w:t>
            </w:r>
          </w:p>
        </w:tc>
      </w:tr>
      <w:tr w:rsidR="002B00AE" w:rsidRPr="002B00AE" w14:paraId="4907614B" w14:textId="77777777" w:rsidTr="000962E5">
        <w:trPr>
          <w:trHeight w:val="1785"/>
        </w:trPr>
        <w:tc>
          <w:tcPr>
            <w:tcW w:w="2515" w:type="dxa"/>
            <w:hideMark/>
          </w:tcPr>
          <w:p w14:paraId="7027A47F"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Maximizing Time Efficiencies with an End-to-End Automated Clinical Workflow for Pharmacogenomics Testing</w:t>
            </w:r>
          </w:p>
        </w:tc>
        <w:tc>
          <w:tcPr>
            <w:tcW w:w="3150" w:type="dxa"/>
            <w:hideMark/>
          </w:tcPr>
          <w:p w14:paraId="3BDE8F01" w14:textId="77777777" w:rsidR="002B00AE" w:rsidRPr="002B00AE" w:rsidRDefault="000962E5" w:rsidP="002B00AE">
            <w:pPr>
              <w:rPr>
                <w:rFonts w:ascii="Arial" w:eastAsia="Times New Roman" w:hAnsi="Arial" w:cs="Arial"/>
                <w:sz w:val="20"/>
                <w:szCs w:val="20"/>
                <w:lang w:val="en-US"/>
              </w:rPr>
            </w:pPr>
            <w:hyperlink r:id="rId28" w:tgtFrame="_parent" w:history="1">
              <w:r w:rsidR="002B00AE" w:rsidRPr="002B00AE">
                <w:rPr>
                  <w:rFonts w:ascii="Arial" w:eastAsia="Times New Roman" w:hAnsi="Arial" w:cs="Arial"/>
                  <w:sz w:val="20"/>
                  <w:szCs w:val="20"/>
                  <w:lang w:val="en-US"/>
                </w:rPr>
                <w:t>https://www.insideprecisionmedicine.com/sponsored/maximizing-time-efficiencies-with-an-end-to-end-automated-clinical-workflow-for-pharmacogenomics-testing/</w:t>
              </w:r>
            </w:hyperlink>
          </w:p>
        </w:tc>
        <w:tc>
          <w:tcPr>
            <w:tcW w:w="1530" w:type="dxa"/>
            <w:hideMark/>
          </w:tcPr>
          <w:p w14:paraId="6420F54C"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Inside Precision Medicine</w:t>
            </w:r>
          </w:p>
        </w:tc>
        <w:tc>
          <w:tcPr>
            <w:tcW w:w="990" w:type="dxa"/>
            <w:hideMark/>
          </w:tcPr>
          <w:p w14:paraId="5F6F5FF1"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4EC079A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Today, close to 15% of EU-EMA and US-FDA approved medications have PGx information in their labels.2 The Clinical Pharmacogenetics Implementation Consortium (CPIC), established in 2009, publishes guidelines to help clinicians understand how to use genomic information to inform drug prescription, including</w:t>
            </w:r>
          </w:p>
        </w:tc>
      </w:tr>
      <w:tr w:rsidR="002B00AE" w:rsidRPr="002B00AE" w14:paraId="7CE25260" w14:textId="77777777" w:rsidTr="000962E5">
        <w:trPr>
          <w:trHeight w:val="1785"/>
        </w:trPr>
        <w:tc>
          <w:tcPr>
            <w:tcW w:w="2515" w:type="dxa"/>
            <w:hideMark/>
          </w:tcPr>
          <w:p w14:paraId="3B2C567C"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Rise of Precision Prescribing</w:t>
            </w:r>
          </w:p>
        </w:tc>
        <w:tc>
          <w:tcPr>
            <w:tcW w:w="3150" w:type="dxa"/>
            <w:hideMark/>
          </w:tcPr>
          <w:p w14:paraId="2EFE9D87" w14:textId="77777777" w:rsidR="002B00AE" w:rsidRPr="002B00AE" w:rsidRDefault="000962E5" w:rsidP="002B00AE">
            <w:pPr>
              <w:rPr>
                <w:rFonts w:ascii="Arial" w:eastAsia="Times New Roman" w:hAnsi="Arial" w:cs="Arial"/>
                <w:sz w:val="20"/>
                <w:szCs w:val="20"/>
                <w:lang w:val="en-US"/>
              </w:rPr>
            </w:pPr>
            <w:hyperlink r:id="rId29" w:tgtFrame="_parent" w:history="1">
              <w:r w:rsidR="002B00AE" w:rsidRPr="002B00AE">
                <w:rPr>
                  <w:rFonts w:ascii="Arial" w:eastAsia="Times New Roman" w:hAnsi="Arial" w:cs="Arial"/>
                  <w:sz w:val="20"/>
                  <w:szCs w:val="20"/>
                  <w:lang w:val="en-US"/>
                </w:rPr>
                <w:t>https://www.insideprecisionmedicine.com/topics/patient-care/the-rise-of-precision-prescribing/</w:t>
              </w:r>
            </w:hyperlink>
          </w:p>
        </w:tc>
        <w:tc>
          <w:tcPr>
            <w:tcW w:w="1530" w:type="dxa"/>
            <w:hideMark/>
          </w:tcPr>
          <w:p w14:paraId="78EE0CA5"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Inside Precision Medicine</w:t>
            </w:r>
          </w:p>
        </w:tc>
        <w:tc>
          <w:tcPr>
            <w:tcW w:w="990" w:type="dxa"/>
            <w:hideMark/>
          </w:tcPr>
          <w:p w14:paraId="5F681684"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3734BA7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Christ Hospital</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As Blaxall points out, there has been a stark increase in the number of medications recommended for prior genetic testing by CPIC (Clinical Pharmacogenetics Implementation Consortium).</w:t>
            </w:r>
          </w:p>
        </w:tc>
      </w:tr>
      <w:tr w:rsidR="002B00AE" w:rsidRPr="002B00AE" w14:paraId="6F811DEC" w14:textId="77777777" w:rsidTr="000962E5">
        <w:trPr>
          <w:trHeight w:val="2040"/>
        </w:trPr>
        <w:tc>
          <w:tcPr>
            <w:tcW w:w="2515" w:type="dxa"/>
            <w:hideMark/>
          </w:tcPr>
          <w:p w14:paraId="117F2357"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This Test Could Save Your Life</w:t>
            </w:r>
          </w:p>
        </w:tc>
        <w:tc>
          <w:tcPr>
            <w:tcW w:w="3150" w:type="dxa"/>
            <w:hideMark/>
          </w:tcPr>
          <w:p w14:paraId="557B7AD3" w14:textId="77777777" w:rsidR="002B00AE" w:rsidRPr="002B00AE" w:rsidRDefault="000962E5" w:rsidP="002B00AE">
            <w:pPr>
              <w:rPr>
                <w:rFonts w:ascii="Arial" w:eastAsia="Times New Roman" w:hAnsi="Arial" w:cs="Arial"/>
                <w:sz w:val="20"/>
                <w:szCs w:val="20"/>
                <w:lang w:val="en-US"/>
              </w:rPr>
            </w:pPr>
            <w:hyperlink r:id="rId30" w:tgtFrame="_parent" w:history="1">
              <w:r w:rsidR="002B00AE" w:rsidRPr="002B00AE">
                <w:rPr>
                  <w:rFonts w:ascii="Arial" w:eastAsia="Times New Roman" w:hAnsi="Arial" w:cs="Arial"/>
                  <w:sz w:val="20"/>
                  <w:szCs w:val="20"/>
                  <w:lang w:val="en-US"/>
                </w:rPr>
                <w:t>https://medshadow.org/pgx-testing/</w:t>
              </w:r>
            </w:hyperlink>
          </w:p>
        </w:tc>
        <w:tc>
          <w:tcPr>
            <w:tcW w:w="1530" w:type="dxa"/>
            <w:hideMark/>
          </w:tcPr>
          <w:p w14:paraId="7D23CFA8" w14:textId="77777777" w:rsidR="002B00AE" w:rsidRPr="002B00AE" w:rsidRDefault="002B00AE" w:rsidP="002B00AE">
            <w:pPr>
              <w:rPr>
                <w:rFonts w:ascii="Arial" w:eastAsia="Times New Roman" w:hAnsi="Arial" w:cs="Arial"/>
                <w:sz w:val="20"/>
                <w:szCs w:val="20"/>
                <w:lang w:val="en-US"/>
              </w:rPr>
            </w:pPr>
            <w:proofErr w:type="spellStart"/>
            <w:r w:rsidRPr="002B00AE">
              <w:rPr>
                <w:rFonts w:ascii="Arial" w:eastAsia="Times New Roman" w:hAnsi="Arial" w:cs="Arial"/>
                <w:sz w:val="20"/>
                <w:szCs w:val="20"/>
                <w:lang w:val="en-US"/>
              </w:rPr>
              <w:t>MedShadow</w:t>
            </w:r>
            <w:proofErr w:type="spellEnd"/>
            <w:r w:rsidRPr="002B00AE">
              <w:rPr>
                <w:rFonts w:ascii="Arial" w:eastAsia="Times New Roman" w:hAnsi="Arial" w:cs="Arial"/>
                <w:sz w:val="20"/>
                <w:szCs w:val="20"/>
                <w:lang w:val="en-US"/>
              </w:rPr>
              <w:t xml:space="preserve"> Foundation Blog</w:t>
            </w:r>
          </w:p>
        </w:tc>
        <w:tc>
          <w:tcPr>
            <w:tcW w:w="990" w:type="dxa"/>
            <w:hideMark/>
          </w:tcPr>
          <w:p w14:paraId="61E26C85"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466A1A56"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The Clinical Pharmacogenetics Implementation Consortium maintains a list of PGx tests which designates which are most highly recommended. The tests for medications at the top of the list have the greatest amount of evidence supporting their use thus far.</w:t>
            </w:r>
            <w:r w:rsidRPr="002B00AE">
              <w:rPr>
                <w:rFonts w:ascii="Arial" w:eastAsia="Times New Roman" w:hAnsi="Arial" w:cs="Arial"/>
                <w:sz w:val="20"/>
                <w:szCs w:val="20"/>
                <w:lang w:val="en-US"/>
              </w:rPr>
              <w:br/>
            </w:r>
            <w:r w:rsidRPr="002B00AE">
              <w:rPr>
                <w:rFonts w:ascii="Arial" w:eastAsia="Times New Roman" w:hAnsi="Arial" w:cs="Arial"/>
                <w:sz w:val="20"/>
                <w:szCs w:val="20"/>
                <w:lang w:val="en-US"/>
              </w:rPr>
              <w:br/>
              <w:t xml:space="preserve"> Testing can save you time and money.</w:t>
            </w:r>
          </w:p>
        </w:tc>
      </w:tr>
      <w:tr w:rsidR="002B00AE" w:rsidRPr="002B00AE" w14:paraId="24ABA54C" w14:textId="77777777" w:rsidTr="000962E5">
        <w:trPr>
          <w:trHeight w:val="1785"/>
        </w:trPr>
        <w:tc>
          <w:tcPr>
            <w:tcW w:w="2515" w:type="dxa"/>
            <w:hideMark/>
          </w:tcPr>
          <w:p w14:paraId="4765C7EB"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lastRenderedPageBreak/>
              <w:t>Evidence Grows for Value of Pharmacogenomics</w:t>
            </w:r>
          </w:p>
        </w:tc>
        <w:tc>
          <w:tcPr>
            <w:tcW w:w="3150" w:type="dxa"/>
            <w:hideMark/>
          </w:tcPr>
          <w:p w14:paraId="26B34C7A" w14:textId="77777777" w:rsidR="002B00AE" w:rsidRPr="002B00AE" w:rsidRDefault="000962E5" w:rsidP="002B00AE">
            <w:pPr>
              <w:rPr>
                <w:rFonts w:ascii="Arial" w:eastAsia="Times New Roman" w:hAnsi="Arial" w:cs="Arial"/>
                <w:sz w:val="20"/>
                <w:szCs w:val="20"/>
                <w:lang w:val="en-US"/>
              </w:rPr>
            </w:pPr>
            <w:hyperlink r:id="rId31" w:tgtFrame="_parent" w:history="1">
              <w:r w:rsidR="002B00AE" w:rsidRPr="002B00AE">
                <w:rPr>
                  <w:rFonts w:ascii="Arial" w:eastAsia="Times New Roman" w:hAnsi="Arial" w:cs="Arial"/>
                  <w:sz w:val="20"/>
                  <w:szCs w:val="20"/>
                  <w:lang w:val="en-US"/>
                </w:rPr>
                <w:t>https://www.pharmacypracticenews.com/Clinical/Article/06-22/Evidence-Grows-for-Value-of-Pharmacogenomics/67206?ses=ogst</w:t>
              </w:r>
            </w:hyperlink>
          </w:p>
        </w:tc>
        <w:tc>
          <w:tcPr>
            <w:tcW w:w="1530" w:type="dxa"/>
            <w:hideMark/>
          </w:tcPr>
          <w:p w14:paraId="4789B073"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Pharmacy Practice News</w:t>
            </w:r>
          </w:p>
        </w:tc>
        <w:tc>
          <w:tcPr>
            <w:tcW w:w="990" w:type="dxa"/>
            <w:hideMark/>
          </w:tcPr>
          <w:p w14:paraId="0842F43D" w14:textId="77777777" w:rsidR="002B00AE" w:rsidRPr="002B00AE" w:rsidRDefault="002B00AE" w:rsidP="002B00AE">
            <w:pPr>
              <w:jc w:val="right"/>
              <w:rPr>
                <w:rFonts w:ascii="Arial" w:eastAsia="Times New Roman" w:hAnsi="Arial" w:cs="Arial"/>
                <w:sz w:val="20"/>
                <w:szCs w:val="20"/>
                <w:lang w:val="en-US"/>
              </w:rPr>
            </w:pPr>
            <w:r w:rsidRPr="002B00AE">
              <w:rPr>
                <w:rFonts w:ascii="Arial" w:eastAsia="Times New Roman" w:hAnsi="Arial" w:cs="Arial"/>
                <w:sz w:val="20"/>
                <w:szCs w:val="20"/>
                <w:lang w:val="en-US"/>
              </w:rPr>
              <w:t>2022</w:t>
            </w:r>
          </w:p>
        </w:tc>
        <w:tc>
          <w:tcPr>
            <w:tcW w:w="4765" w:type="dxa"/>
            <w:hideMark/>
          </w:tcPr>
          <w:p w14:paraId="0BA06E14"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Recent guidelines issued by the Clinical Pharmacogenetics Implementation Consortium (CPIC)—the leading body guiding clinical use of PGx—state that CYP2D6 genetic variations are “clinically relevant” for codeine and tramadol therapy, but only “possibly informative” for hydrocodone therapy, and “not informative</w:t>
            </w:r>
          </w:p>
        </w:tc>
      </w:tr>
      <w:tr w:rsidR="002B00AE" w:rsidRPr="002B00AE" w14:paraId="2EAC5BB2" w14:textId="77777777" w:rsidTr="000962E5">
        <w:trPr>
          <w:trHeight w:val="1275"/>
        </w:trPr>
        <w:tc>
          <w:tcPr>
            <w:tcW w:w="2515" w:type="dxa"/>
            <w:hideMark/>
          </w:tcPr>
          <w:p w14:paraId="67F118A4" w14:textId="5458C939"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 xml:space="preserve">26 </w:t>
            </w:r>
            <w:r w:rsidR="000962E5" w:rsidRPr="002B00AE">
              <w:rPr>
                <w:rFonts w:ascii="Arial" w:eastAsia="Times New Roman" w:hAnsi="Arial" w:cs="Arial"/>
                <w:color w:val="000000"/>
                <w:sz w:val="20"/>
                <w:szCs w:val="20"/>
                <w:lang w:val="en-US"/>
              </w:rPr>
              <w:t>articles</w:t>
            </w:r>
          </w:p>
        </w:tc>
        <w:tc>
          <w:tcPr>
            <w:tcW w:w="3150" w:type="dxa"/>
            <w:hideMark/>
          </w:tcPr>
          <w:p w14:paraId="274B4916" w14:textId="77777777" w:rsidR="002B00AE" w:rsidRPr="002B00AE" w:rsidRDefault="002B00AE" w:rsidP="002B00AE">
            <w:pPr>
              <w:rPr>
                <w:rFonts w:ascii="Arial" w:eastAsia="Times New Roman" w:hAnsi="Arial" w:cs="Arial"/>
                <w:color w:val="1155CC"/>
                <w:sz w:val="20"/>
                <w:szCs w:val="20"/>
                <w:u w:val="single"/>
                <w:lang w:val="en-US"/>
              </w:rPr>
            </w:pPr>
            <w:r w:rsidRPr="002B00AE">
              <w:rPr>
                <w:rFonts w:ascii="Arial" w:eastAsia="Times New Roman" w:hAnsi="Arial" w:cs="Arial"/>
                <w:color w:val="1155CC"/>
                <w:sz w:val="20"/>
                <w:szCs w:val="20"/>
                <w:u w:val="single"/>
                <w:lang w:val="en-US"/>
              </w:rPr>
              <w:t>https://www.genomeweb.com/subscribe?gclid=CjwKCAjw_b6WBhAQEiwAp4HyIEsIC48daoDDQlBrk5au8gDMhu1TECQdG3DFakNVv4STcvdqH0IvEBoCN6IQAvD_BwE</w:t>
            </w:r>
          </w:p>
        </w:tc>
        <w:tc>
          <w:tcPr>
            <w:tcW w:w="1530" w:type="dxa"/>
            <w:hideMark/>
          </w:tcPr>
          <w:p w14:paraId="0E3F8DFD"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GenomeWeb</w:t>
            </w:r>
          </w:p>
        </w:tc>
        <w:tc>
          <w:tcPr>
            <w:tcW w:w="990" w:type="dxa"/>
            <w:hideMark/>
          </w:tcPr>
          <w:p w14:paraId="3736D0D8" w14:textId="77777777" w:rsidR="002B00AE" w:rsidRPr="002B00AE" w:rsidRDefault="002B00AE" w:rsidP="002B00AE">
            <w:pPr>
              <w:rPr>
                <w:rFonts w:ascii="Arial" w:eastAsia="Times New Roman" w:hAnsi="Arial" w:cs="Arial"/>
                <w:sz w:val="20"/>
                <w:szCs w:val="20"/>
                <w:lang w:val="en-US"/>
              </w:rPr>
            </w:pPr>
            <w:r w:rsidRPr="002B00AE">
              <w:rPr>
                <w:rFonts w:ascii="Arial" w:eastAsia="Times New Roman" w:hAnsi="Arial" w:cs="Arial"/>
                <w:sz w:val="20"/>
                <w:szCs w:val="20"/>
                <w:lang w:val="en-US"/>
              </w:rPr>
              <w:t>2017-2022</w:t>
            </w:r>
          </w:p>
        </w:tc>
        <w:tc>
          <w:tcPr>
            <w:tcW w:w="4765" w:type="dxa"/>
            <w:hideMark/>
          </w:tcPr>
          <w:p w14:paraId="4CF6AF35" w14:textId="77777777" w:rsidR="002B00AE" w:rsidRPr="002B00AE" w:rsidRDefault="002B00AE" w:rsidP="002B00AE">
            <w:pPr>
              <w:rPr>
                <w:rFonts w:ascii="Arial" w:eastAsia="Times New Roman" w:hAnsi="Arial" w:cs="Arial"/>
                <w:color w:val="000000"/>
                <w:sz w:val="20"/>
                <w:szCs w:val="20"/>
                <w:lang w:val="en-US"/>
              </w:rPr>
            </w:pPr>
            <w:r w:rsidRPr="002B00AE">
              <w:rPr>
                <w:rFonts w:ascii="Arial" w:eastAsia="Times New Roman" w:hAnsi="Arial" w:cs="Arial"/>
                <w:color w:val="000000"/>
                <w:sz w:val="20"/>
                <w:szCs w:val="20"/>
                <w:lang w:val="en-US"/>
              </w:rPr>
              <w:t>26 articles</w:t>
            </w:r>
          </w:p>
        </w:tc>
      </w:tr>
    </w:tbl>
    <w:p w14:paraId="717CFE69" w14:textId="77777777" w:rsidR="002B00AE" w:rsidRDefault="002B00AE"/>
    <w:sectPr w:rsidR="002B00AE" w:rsidSect="000962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AE"/>
    <w:rsid w:val="000962E5"/>
    <w:rsid w:val="000B4336"/>
    <w:rsid w:val="002B00AE"/>
    <w:rsid w:val="00F3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EE25"/>
  <w15:chartTrackingRefBased/>
  <w15:docId w15:val="{C26542CE-0819-401A-A556-1C7E1FAD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62E5"/>
    <w:pPr>
      <w:keepNext/>
      <w:keepLines/>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0962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B00AE"/>
    <w:rPr>
      <w:color w:val="1155CC"/>
      <w:u w:val="single"/>
    </w:rPr>
  </w:style>
  <w:style w:type="character" w:customStyle="1" w:styleId="Heading1Char">
    <w:name w:val="Heading 1 Char"/>
    <w:basedOn w:val="DefaultParagraphFont"/>
    <w:link w:val="Heading1"/>
    <w:uiPriority w:val="9"/>
    <w:rsid w:val="000962E5"/>
    <w:rPr>
      <w:rFonts w:ascii="Times New Roman" w:eastAsiaTheme="majorEastAsia" w:hAnsi="Times New Roman" w:cstheme="majorBidi"/>
      <w:b/>
      <w:caps/>
      <w:sz w:val="24"/>
      <w:szCs w:val="32"/>
      <w:lang w:val="en-GB"/>
    </w:rPr>
  </w:style>
  <w:style w:type="character" w:customStyle="1" w:styleId="Heading2Char">
    <w:name w:val="Heading 2 Char"/>
    <w:basedOn w:val="DefaultParagraphFont"/>
    <w:link w:val="Heading2"/>
    <w:uiPriority w:val="9"/>
    <w:rsid w:val="000962E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4168">
      <w:bodyDiv w:val="1"/>
      <w:marLeft w:val="0"/>
      <w:marRight w:val="0"/>
      <w:marTop w:val="0"/>
      <w:marBottom w:val="0"/>
      <w:divBdr>
        <w:top w:val="none" w:sz="0" w:space="0" w:color="auto"/>
        <w:left w:val="none" w:sz="0" w:space="0" w:color="auto"/>
        <w:bottom w:val="none" w:sz="0" w:space="0" w:color="auto"/>
        <w:right w:val="none" w:sz="0" w:space="0" w:color="auto"/>
      </w:divBdr>
    </w:div>
    <w:div w:id="936597803">
      <w:bodyDiv w:val="1"/>
      <w:marLeft w:val="0"/>
      <w:marRight w:val="0"/>
      <w:marTop w:val="0"/>
      <w:marBottom w:val="0"/>
      <w:divBdr>
        <w:top w:val="none" w:sz="0" w:space="0" w:color="auto"/>
        <w:left w:val="none" w:sz="0" w:space="0" w:color="auto"/>
        <w:bottom w:val="none" w:sz="0" w:space="0" w:color="auto"/>
        <w:right w:val="none" w:sz="0" w:space="0" w:color="auto"/>
      </w:divBdr>
      <w:divsChild>
        <w:div w:id="1562593900">
          <w:marLeft w:val="0"/>
          <w:marRight w:val="0"/>
          <w:marTop w:val="0"/>
          <w:marBottom w:val="0"/>
          <w:divBdr>
            <w:top w:val="none" w:sz="0" w:space="0" w:color="auto"/>
            <w:left w:val="none" w:sz="0" w:space="0" w:color="auto"/>
            <w:bottom w:val="none" w:sz="0" w:space="0" w:color="auto"/>
            <w:right w:val="none" w:sz="0" w:space="0" w:color="auto"/>
          </w:divBdr>
        </w:div>
      </w:divsChild>
    </w:div>
    <w:div w:id="1130439425">
      <w:bodyDiv w:val="1"/>
      <w:marLeft w:val="0"/>
      <w:marRight w:val="0"/>
      <w:marTop w:val="0"/>
      <w:marBottom w:val="0"/>
      <w:divBdr>
        <w:top w:val="none" w:sz="0" w:space="0" w:color="auto"/>
        <w:left w:val="none" w:sz="0" w:space="0" w:color="auto"/>
        <w:bottom w:val="none" w:sz="0" w:space="0" w:color="auto"/>
        <w:right w:val="none" w:sz="0" w:space="0" w:color="auto"/>
      </w:divBdr>
    </w:div>
    <w:div w:id="20038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itynews.com/2020/12/invest-precision-medicine-pitch-perfect-winner-spotlight-parallel-profile/" TargetMode="External"/><Relationship Id="rId13" Type="http://schemas.openxmlformats.org/officeDocument/2006/relationships/hyperlink" Target="https://frontlinegenomics.com/pharmacogenetic-testing-could-save-millions/" TargetMode="External"/><Relationship Id="rId18" Type="http://schemas.openxmlformats.org/officeDocument/2006/relationships/hyperlink" Target="https://www.news-medical.net/news/20210611/AMPe28099s-new-consensus-can-promote-standardization-of-PGx-geneallele-testing-improve-patient-care.aspx" TargetMode="External"/><Relationship Id="rId26" Type="http://schemas.openxmlformats.org/officeDocument/2006/relationships/hyperlink" Target="https://www.healthtechdigital.com/new-rapid-genomic-testing-at-manchester-university-nhs-foundation-trust-hospitals-prevents-at-risk-neonates-from-potential-lifelong-hearing-loss/" TargetMode="External"/><Relationship Id="rId3" Type="http://schemas.openxmlformats.org/officeDocument/2006/relationships/webSettings" Target="webSettings.xml"/><Relationship Id="rId21" Type="http://schemas.openxmlformats.org/officeDocument/2006/relationships/hyperlink" Target="https://www.biospace.com/article/-new-rapid-genomic-testing-at-manchester-university-nhs-foundation-trust-hospitals-prevents-at-risk-neonates-from-potential-lifelong-hearing-loss-/" TargetMode="External"/><Relationship Id="rId7" Type="http://schemas.openxmlformats.org/officeDocument/2006/relationships/hyperlink" Target="https://www.healthcareittoday.com/2020/09/02/how-should-health-systems-approach-their-enterprise-precision-medicine-efforts/" TargetMode="External"/><Relationship Id="rId12" Type="http://schemas.openxmlformats.org/officeDocument/2006/relationships/hyperlink" Target="https://journals.lww.com/tnpj/fulltext/2021/04000/pharmacogenetic_testing__clinical_integration_and.2.aspx" TargetMode="External"/><Relationship Id="rId17" Type="http://schemas.openxmlformats.org/officeDocument/2006/relationships/hyperlink" Target="https://medicalxpress.com/news/2021-06-association-minimum-pharmacogenetic-alleles-clinical.html" TargetMode="External"/><Relationship Id="rId25" Type="http://schemas.openxmlformats.org/officeDocument/2006/relationships/hyperlink" Target="https://www.genomeweb.com/molecular-diagnostics/legislators-introduce-bill-seeking-raise-pgx-awareness-adoptio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lo-online.com/molecular/genomics/article/21226374/amp-issues-recommendations-on-clinical-cyp2d6-genotype-testing" TargetMode="External"/><Relationship Id="rId20" Type="http://schemas.openxmlformats.org/officeDocument/2006/relationships/hyperlink" Target="https://www.clinicallabmanager.com/news/minimum-set-of-alleles-recomended-to-guide-clinical-em-cyp2d6-em-genotype-testing-25723" TargetMode="External"/><Relationship Id="rId29" Type="http://schemas.openxmlformats.org/officeDocument/2006/relationships/hyperlink" Target="https://www.insideprecisionmedicine.com/topics/patient-care/the-rise-of-precision-prescribing/" TargetMode="External"/><Relationship Id="rId1" Type="http://schemas.openxmlformats.org/officeDocument/2006/relationships/styles" Target="styles.xml"/><Relationship Id="rId6" Type="http://schemas.openxmlformats.org/officeDocument/2006/relationships/hyperlink" Target="https://www.genengnews.com/news/clinical-study-shows-benefits-of-using-pharmacogenetics-among-statin-users/" TargetMode="External"/><Relationship Id="rId11" Type="http://schemas.openxmlformats.org/officeDocument/2006/relationships/hyperlink" Target="https://clpmag.com/lab-essentials/quality-systems/standards/amp-provides-recommendations-for-clinical-cyp2d6-genotyping-allele-selection/" TargetMode="External"/><Relationship Id="rId24" Type="http://schemas.openxmlformats.org/officeDocument/2006/relationships/hyperlink" Target="https://www.genomeweb.com/molecular-diagnostics/mayo-clinic-study-bolsters-implementation-pgx-data-clinical-practice" TargetMode="External"/><Relationship Id="rId32" Type="http://schemas.openxmlformats.org/officeDocument/2006/relationships/fontTable" Target="fontTable.xml"/><Relationship Id="rId5" Type="http://schemas.openxmlformats.org/officeDocument/2006/relationships/hyperlink" Target="https://www.captodayonline.com/put-it-on-the-board-0720/" TargetMode="External"/><Relationship Id="rId15" Type="http://schemas.openxmlformats.org/officeDocument/2006/relationships/hyperlink" Target="https://www.mlo-online.com/molecular/genomics/article/21230909/standardizing-genotyping-assays" TargetMode="External"/><Relationship Id="rId23" Type="http://schemas.openxmlformats.org/officeDocument/2006/relationships/hyperlink" Target="https://www.genomeweb.com/informatics/meditech-installs-ehr-genomics-add-health-systems-pursuit-precision-medicine" TargetMode="External"/><Relationship Id="rId28" Type="http://schemas.openxmlformats.org/officeDocument/2006/relationships/hyperlink" Target="https://www.insideprecisionmedicine.com/sponsored/maximizing-time-efficiencies-with-an-end-to-end-automated-clinical-workflow-for-pharmacogenomics-testing/" TargetMode="External"/><Relationship Id="rId10" Type="http://schemas.openxmlformats.org/officeDocument/2006/relationships/hyperlink" Target="https://www.captodayonline.com/pgx-in-transplant-medicine-tacrolimus-as-foundation/" TargetMode="External"/><Relationship Id="rId19" Type="http://schemas.openxmlformats.org/officeDocument/2006/relationships/hyperlink" Target="https://www.practicalpainmanagement.com/treatments/pharmacological/opioids/optimizing-opioid-therapy-pharmacogenetics" TargetMode="External"/><Relationship Id="rId31" Type="http://schemas.openxmlformats.org/officeDocument/2006/relationships/hyperlink" Target="https://www.pharmacypracticenews.com/Clinical/Article/06-22/Evidence-Grows-for-Value-of-Pharmacogenomics/67206?ses=ogst" TargetMode="External"/><Relationship Id="rId4" Type="http://schemas.openxmlformats.org/officeDocument/2006/relationships/hyperlink" Target="https://www.illumina.com/search.html?q=CPIC&amp;filter=all&amp;p=1" TargetMode="External"/><Relationship Id="rId9" Type="http://schemas.openxmlformats.org/officeDocument/2006/relationships/hyperlink" Target="https://www.biospace.com/article/releases/myriad-genetics-delivers-6-percent-sequential-revenue-growth-company-continues-to-execute-strategic-transformation-plan/" TargetMode="External"/><Relationship Id="rId14" Type="http://schemas.openxmlformats.org/officeDocument/2006/relationships/hyperlink" Target="https://www.genengnews.com/insights/genomic-visions-where-are-we-now/" TargetMode="External"/><Relationship Id="rId22" Type="http://schemas.openxmlformats.org/officeDocument/2006/relationships/hyperlink" Target="https://www.diagnosticsworldnews.com/news/2022/05/03/the-case-for-preemptive-sequence-based-pharmacogenomics-testing" TargetMode="External"/><Relationship Id="rId27" Type="http://schemas.openxmlformats.org/officeDocument/2006/relationships/hyperlink" Target="https://www.insideprecisionmedicine.com/topics/molecular-dx-topic/pharmacogenomic-testing/leading-pgx-resources-show-incongruous-gene-drug-interactions-dosing-recommendations/" TargetMode="External"/><Relationship Id="rId30" Type="http://schemas.openxmlformats.org/officeDocument/2006/relationships/hyperlink" Target="https://medshadow.org/pgx-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3235</Words>
  <Characters>18441</Characters>
  <Application>Microsoft Office Word</Application>
  <DocSecurity>4</DocSecurity>
  <Lines>153</Lines>
  <Paragraphs>43</Paragraphs>
  <ScaleCrop>false</ScaleCrop>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 Mary</dc:creator>
  <cp:keywords/>
  <dc:description/>
  <cp:lastModifiedBy>Caudle, Kelly</cp:lastModifiedBy>
  <cp:revision>2</cp:revision>
  <dcterms:created xsi:type="dcterms:W3CDTF">2022-08-02T19:19:00Z</dcterms:created>
  <dcterms:modified xsi:type="dcterms:W3CDTF">2022-08-02T19:19:00Z</dcterms:modified>
</cp:coreProperties>
</file>