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33D2ACCD"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2152B7">
        <w:rPr>
          <w:rFonts w:ascii="Times New Roman" w:hAnsi="Times New Roman"/>
          <w:sz w:val="24"/>
          <w:szCs w:val="24"/>
        </w:rPr>
        <w:t>October 6, 2022</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1A006C32" w14:textId="19F66503" w:rsidR="00121451" w:rsidRPr="00121451" w:rsidRDefault="002152B7" w:rsidP="00121451">
            <w:pPr>
              <w:pStyle w:val="xmsolistparagraph"/>
              <w:shd w:val="clear" w:color="auto" w:fill="FFFFFF"/>
              <w:spacing w:before="0" w:beforeAutospacing="0" w:after="0" w:afterAutospacing="0"/>
              <w:rPr>
                <w:color w:val="201F1E"/>
                <w:sz w:val="22"/>
                <w:szCs w:val="22"/>
              </w:rPr>
            </w:pPr>
            <w:r>
              <w:rPr>
                <w:color w:val="201F1E"/>
                <w:bdr w:val="none" w:sz="0" w:space="0" w:color="auto" w:frame="1"/>
                <w:lang w:val="en-GB"/>
              </w:rPr>
              <w:t xml:space="preserve">Inter-Society Coordinating Committee for Practitioner Education </w:t>
            </w:r>
            <w:proofErr w:type="gramStart"/>
            <w:r>
              <w:rPr>
                <w:color w:val="201F1E"/>
                <w:bdr w:val="none" w:sz="0" w:space="0" w:color="auto" w:frame="1"/>
                <w:lang w:val="en-GB"/>
              </w:rPr>
              <w:t>In</w:t>
            </w:r>
            <w:proofErr w:type="gramEnd"/>
            <w:r>
              <w:rPr>
                <w:color w:val="201F1E"/>
                <w:bdr w:val="none" w:sz="0" w:space="0" w:color="auto" w:frame="1"/>
                <w:lang w:val="en-GB"/>
              </w:rPr>
              <w:t xml:space="preserve"> Genomics (ISCC-PEG) update</w:t>
            </w:r>
          </w:p>
          <w:p w14:paraId="6E22FBE9" w14:textId="255A7327" w:rsidR="0064790C" w:rsidRDefault="0064790C" w:rsidP="0064790C">
            <w:pPr>
              <w:widowControl/>
              <w:rPr>
                <w:rFonts w:ascii="Times New Roman" w:hAnsi="Times New Roman"/>
                <w:sz w:val="24"/>
                <w:szCs w:val="24"/>
              </w:rPr>
            </w:pPr>
          </w:p>
        </w:tc>
        <w:tc>
          <w:tcPr>
            <w:tcW w:w="7462" w:type="dxa"/>
            <w:tcBorders>
              <w:top w:val="single" w:sz="6" w:space="0" w:color="000000"/>
              <w:left w:val="single" w:sz="6" w:space="0" w:color="000000"/>
              <w:bottom w:val="single" w:sz="6" w:space="0" w:color="000000"/>
              <w:right w:val="single" w:sz="6" w:space="0" w:color="000000"/>
            </w:tcBorders>
          </w:tcPr>
          <w:p w14:paraId="7E67D626" w14:textId="4CB255E7" w:rsidR="002152B7" w:rsidRDefault="002152B7" w:rsidP="009B35A0">
            <w:pPr>
              <w:widowControl/>
              <w:rPr>
                <w:rFonts w:ascii="Times New Roman" w:hAnsi="Times New Roman"/>
                <w:sz w:val="24"/>
                <w:szCs w:val="24"/>
              </w:rPr>
            </w:pPr>
            <w:r>
              <w:rPr>
                <w:rFonts w:ascii="Times New Roman" w:hAnsi="Times New Roman"/>
                <w:sz w:val="24"/>
                <w:szCs w:val="24"/>
              </w:rPr>
              <w:t>Phil Empey, Co-Chair of the ISCC-PEG Pharmacogenomics Project Group</w:t>
            </w:r>
            <w:r w:rsidR="00834F48">
              <w:rPr>
                <w:rFonts w:ascii="Times New Roman" w:hAnsi="Times New Roman"/>
                <w:sz w:val="24"/>
                <w:szCs w:val="24"/>
              </w:rPr>
              <w:t xml:space="preserve">, provided an update on current ISCC-PEG initiatives. ISCC-PEG aims to identify genomics educational needs and potential solutions for healthcare professionals, share best practices in educational approaches, and develop educational resources. There are several project groups, including a Pharmacogenomics Project Group. Key updates include: </w:t>
            </w:r>
          </w:p>
          <w:p w14:paraId="2FC29EEE" w14:textId="23907981" w:rsidR="002152B7" w:rsidRDefault="00834F48" w:rsidP="002152B7">
            <w:pPr>
              <w:pStyle w:val="ListParagraph"/>
              <w:widowControl/>
              <w:numPr>
                <w:ilvl w:val="0"/>
                <w:numId w:val="30"/>
              </w:numPr>
              <w:rPr>
                <w:rFonts w:ascii="Times New Roman" w:hAnsi="Times New Roman"/>
                <w:sz w:val="24"/>
                <w:szCs w:val="24"/>
              </w:rPr>
            </w:pPr>
            <w:r>
              <w:rPr>
                <w:rFonts w:ascii="Times New Roman" w:hAnsi="Times New Roman"/>
                <w:sz w:val="24"/>
                <w:szCs w:val="24"/>
              </w:rPr>
              <w:t>The G</w:t>
            </w:r>
            <w:r w:rsidR="002152B7">
              <w:rPr>
                <w:rFonts w:ascii="Times New Roman" w:hAnsi="Times New Roman"/>
                <w:sz w:val="24"/>
                <w:szCs w:val="24"/>
              </w:rPr>
              <w:t xml:space="preserve">2C2 </w:t>
            </w:r>
            <w:r>
              <w:rPr>
                <w:rFonts w:ascii="Times New Roman" w:hAnsi="Times New Roman"/>
                <w:sz w:val="24"/>
                <w:szCs w:val="24"/>
              </w:rPr>
              <w:t>resource has transitioned to</w:t>
            </w:r>
            <w:r w:rsidR="002152B7">
              <w:rPr>
                <w:rFonts w:ascii="Times New Roman" w:hAnsi="Times New Roman"/>
                <w:sz w:val="24"/>
                <w:szCs w:val="24"/>
              </w:rPr>
              <w:t xml:space="preserve"> </w:t>
            </w:r>
            <w:proofErr w:type="spellStart"/>
            <w:r w:rsidR="002152B7">
              <w:rPr>
                <w:rFonts w:ascii="Times New Roman" w:hAnsi="Times New Roman"/>
                <w:sz w:val="24"/>
                <w:szCs w:val="24"/>
              </w:rPr>
              <w:t>GenomeEd</w:t>
            </w:r>
            <w:proofErr w:type="spellEnd"/>
            <w:r w:rsidR="002152B7">
              <w:rPr>
                <w:rFonts w:ascii="Times New Roman" w:hAnsi="Times New Roman"/>
                <w:sz w:val="24"/>
                <w:szCs w:val="24"/>
              </w:rPr>
              <w:t xml:space="preserve"> (</w:t>
            </w:r>
            <w:hyperlink r:id="rId8" w:history="1">
              <w:r w:rsidR="002152B7" w:rsidRPr="004108C7">
                <w:rPr>
                  <w:rStyle w:val="Hyperlink"/>
                  <w:rFonts w:ascii="Times New Roman" w:hAnsi="Times New Roman"/>
                  <w:sz w:val="24"/>
                  <w:szCs w:val="24"/>
                </w:rPr>
                <w:t>www.genome.gov/GenomeEd</w:t>
              </w:r>
            </w:hyperlink>
            <w:r w:rsidR="002152B7">
              <w:rPr>
                <w:rFonts w:ascii="Times New Roman" w:hAnsi="Times New Roman"/>
                <w:sz w:val="24"/>
                <w:szCs w:val="24"/>
              </w:rPr>
              <w:t>)</w:t>
            </w:r>
            <w:r>
              <w:rPr>
                <w:rFonts w:ascii="Times New Roman" w:hAnsi="Times New Roman"/>
                <w:sz w:val="24"/>
                <w:szCs w:val="24"/>
              </w:rPr>
              <w:t>, which</w:t>
            </w:r>
            <w:r w:rsidR="002152B7">
              <w:rPr>
                <w:rFonts w:ascii="Times New Roman" w:hAnsi="Times New Roman"/>
                <w:sz w:val="24"/>
                <w:szCs w:val="24"/>
              </w:rPr>
              <w:t xml:space="preserve"> hosts genomics competencies for healthcare professionals and educational resources</w:t>
            </w:r>
            <w:r>
              <w:rPr>
                <w:rFonts w:ascii="Times New Roman" w:hAnsi="Times New Roman"/>
                <w:sz w:val="24"/>
                <w:szCs w:val="24"/>
              </w:rPr>
              <w:t xml:space="preserve">. </w:t>
            </w:r>
          </w:p>
          <w:p w14:paraId="5FAE8241" w14:textId="1AF533BD" w:rsidR="002152B7" w:rsidRDefault="00834F48" w:rsidP="002152B7">
            <w:pPr>
              <w:pStyle w:val="ListParagraph"/>
              <w:widowControl/>
              <w:numPr>
                <w:ilvl w:val="0"/>
                <w:numId w:val="30"/>
              </w:numPr>
              <w:rPr>
                <w:rFonts w:ascii="Times New Roman" w:hAnsi="Times New Roman"/>
                <w:sz w:val="24"/>
                <w:szCs w:val="24"/>
              </w:rPr>
            </w:pPr>
            <w:r>
              <w:rPr>
                <w:rFonts w:ascii="Times New Roman" w:hAnsi="Times New Roman"/>
                <w:sz w:val="24"/>
                <w:szCs w:val="24"/>
              </w:rPr>
              <w:t xml:space="preserve">The Pharmacogenomics Project group has developed </w:t>
            </w:r>
            <w:r w:rsidR="00D2376A">
              <w:rPr>
                <w:rFonts w:ascii="Times New Roman" w:hAnsi="Times New Roman"/>
                <w:sz w:val="24"/>
                <w:szCs w:val="24"/>
              </w:rPr>
              <w:t>nine</w:t>
            </w:r>
            <w:r>
              <w:rPr>
                <w:rFonts w:ascii="Times New Roman" w:hAnsi="Times New Roman"/>
                <w:sz w:val="24"/>
                <w:szCs w:val="24"/>
              </w:rPr>
              <w:t xml:space="preserve"> educational modules </w:t>
            </w:r>
            <w:r w:rsidR="00D2376A">
              <w:rPr>
                <w:rFonts w:ascii="Times New Roman" w:hAnsi="Times New Roman"/>
                <w:sz w:val="24"/>
                <w:szCs w:val="24"/>
              </w:rPr>
              <w:t xml:space="preserve">covering a variety of pharmacogenomics topics </w:t>
            </w:r>
            <w:r>
              <w:rPr>
                <w:rFonts w:ascii="Times New Roman" w:hAnsi="Times New Roman"/>
                <w:sz w:val="24"/>
                <w:szCs w:val="24"/>
              </w:rPr>
              <w:t xml:space="preserve">that are expert-developed and peer-reviewed. They will be </w:t>
            </w:r>
            <w:r w:rsidR="002152B7">
              <w:rPr>
                <w:rFonts w:ascii="Times New Roman" w:hAnsi="Times New Roman"/>
                <w:sz w:val="24"/>
                <w:szCs w:val="24"/>
              </w:rPr>
              <w:t>produced/hosted for dissemination by University of Pittsburgh</w:t>
            </w:r>
            <w:r>
              <w:rPr>
                <w:rFonts w:ascii="Times New Roman" w:hAnsi="Times New Roman"/>
                <w:sz w:val="24"/>
                <w:szCs w:val="24"/>
              </w:rPr>
              <w:t xml:space="preserve"> and offer </w:t>
            </w:r>
            <w:r w:rsidR="002152B7">
              <w:rPr>
                <w:rFonts w:ascii="Times New Roman" w:hAnsi="Times New Roman"/>
                <w:sz w:val="24"/>
                <w:szCs w:val="24"/>
              </w:rPr>
              <w:t>CE</w:t>
            </w:r>
            <w:r w:rsidR="00D2376A">
              <w:rPr>
                <w:rFonts w:ascii="Times New Roman" w:hAnsi="Times New Roman"/>
                <w:sz w:val="24"/>
                <w:szCs w:val="24"/>
              </w:rPr>
              <w:t xml:space="preserve"> for healthcare professionals</w:t>
            </w:r>
            <w:r w:rsidR="002152B7">
              <w:rPr>
                <w:rFonts w:ascii="Times New Roman" w:hAnsi="Times New Roman"/>
                <w:sz w:val="24"/>
                <w:szCs w:val="24"/>
              </w:rPr>
              <w:t xml:space="preserve"> (8 </w:t>
            </w:r>
            <w:proofErr w:type="spellStart"/>
            <w:r w:rsidR="002152B7">
              <w:rPr>
                <w:rFonts w:ascii="Times New Roman" w:hAnsi="Times New Roman"/>
                <w:sz w:val="24"/>
                <w:szCs w:val="24"/>
              </w:rPr>
              <w:t>h</w:t>
            </w:r>
            <w:r>
              <w:rPr>
                <w:rFonts w:ascii="Times New Roman" w:hAnsi="Times New Roman"/>
                <w:sz w:val="24"/>
                <w:szCs w:val="24"/>
              </w:rPr>
              <w:t>r</w:t>
            </w:r>
            <w:proofErr w:type="spellEnd"/>
            <w:r w:rsidR="002152B7">
              <w:rPr>
                <w:rFonts w:ascii="Times New Roman" w:hAnsi="Times New Roman"/>
                <w:sz w:val="24"/>
                <w:szCs w:val="24"/>
              </w:rPr>
              <w:t xml:space="preserve"> total)</w:t>
            </w:r>
            <w:r>
              <w:rPr>
                <w:rFonts w:ascii="Times New Roman" w:hAnsi="Times New Roman"/>
                <w:sz w:val="24"/>
                <w:szCs w:val="24"/>
              </w:rPr>
              <w:t>. They will also be</w:t>
            </w:r>
            <w:r w:rsidR="002152B7">
              <w:rPr>
                <w:rFonts w:ascii="Times New Roman" w:hAnsi="Times New Roman"/>
                <w:sz w:val="24"/>
                <w:szCs w:val="24"/>
              </w:rPr>
              <w:t xml:space="preserve"> featured on genome.gov</w:t>
            </w:r>
            <w:r>
              <w:rPr>
                <w:rFonts w:ascii="Times New Roman" w:hAnsi="Times New Roman"/>
                <w:sz w:val="24"/>
                <w:szCs w:val="24"/>
              </w:rPr>
              <w:t xml:space="preserve">. </w:t>
            </w:r>
          </w:p>
          <w:p w14:paraId="238B5E31" w14:textId="2CFB808C" w:rsidR="002152B7" w:rsidRDefault="00834F48" w:rsidP="002152B7">
            <w:pPr>
              <w:pStyle w:val="ListParagraph"/>
              <w:widowControl/>
              <w:numPr>
                <w:ilvl w:val="0"/>
                <w:numId w:val="30"/>
              </w:numPr>
              <w:rPr>
                <w:rFonts w:ascii="Times New Roman" w:hAnsi="Times New Roman"/>
                <w:sz w:val="24"/>
                <w:szCs w:val="24"/>
              </w:rPr>
            </w:pPr>
            <w:r>
              <w:rPr>
                <w:rFonts w:ascii="Times New Roman" w:hAnsi="Times New Roman"/>
                <w:sz w:val="24"/>
                <w:szCs w:val="24"/>
              </w:rPr>
              <w:t xml:space="preserve">The </w:t>
            </w:r>
            <w:r w:rsidR="002152B7">
              <w:rPr>
                <w:rFonts w:ascii="Times New Roman" w:hAnsi="Times New Roman"/>
                <w:sz w:val="24"/>
                <w:szCs w:val="24"/>
              </w:rPr>
              <w:t>ISCC-PEG Scholars</w:t>
            </w:r>
            <w:r w:rsidR="00BF0A85">
              <w:rPr>
                <w:rFonts w:ascii="Times New Roman" w:hAnsi="Times New Roman"/>
                <w:sz w:val="24"/>
                <w:szCs w:val="24"/>
              </w:rPr>
              <w:t xml:space="preserve"> </w:t>
            </w:r>
            <w:r>
              <w:rPr>
                <w:rFonts w:ascii="Times New Roman" w:hAnsi="Times New Roman"/>
                <w:sz w:val="24"/>
                <w:szCs w:val="24"/>
              </w:rPr>
              <w:t>program, which is entering its 3</w:t>
            </w:r>
            <w:r w:rsidRPr="00834F48">
              <w:rPr>
                <w:rFonts w:ascii="Times New Roman" w:hAnsi="Times New Roman"/>
                <w:sz w:val="24"/>
                <w:szCs w:val="24"/>
                <w:vertAlign w:val="superscript"/>
              </w:rPr>
              <w:t>rd</w:t>
            </w:r>
            <w:r>
              <w:rPr>
                <w:rFonts w:ascii="Times New Roman" w:hAnsi="Times New Roman"/>
                <w:sz w:val="24"/>
                <w:szCs w:val="24"/>
              </w:rPr>
              <w:t xml:space="preserve"> year, is a </w:t>
            </w:r>
            <w:r w:rsidR="00BF0A85">
              <w:rPr>
                <w:rFonts w:ascii="Times New Roman" w:hAnsi="Times New Roman"/>
                <w:sz w:val="24"/>
                <w:szCs w:val="24"/>
              </w:rPr>
              <w:t>competitive program for trainees</w:t>
            </w:r>
            <w:r>
              <w:rPr>
                <w:rFonts w:ascii="Times New Roman" w:hAnsi="Times New Roman"/>
                <w:sz w:val="24"/>
                <w:szCs w:val="24"/>
              </w:rPr>
              <w:t xml:space="preserve"> (2-year term) that involves </w:t>
            </w:r>
            <w:r w:rsidR="00D2376A">
              <w:rPr>
                <w:rFonts w:ascii="Times New Roman" w:hAnsi="Times New Roman"/>
                <w:sz w:val="24"/>
                <w:szCs w:val="24"/>
              </w:rPr>
              <w:t xml:space="preserve">a </w:t>
            </w:r>
            <w:r>
              <w:rPr>
                <w:rFonts w:ascii="Times New Roman" w:hAnsi="Times New Roman"/>
                <w:sz w:val="24"/>
                <w:szCs w:val="24"/>
              </w:rPr>
              <w:t xml:space="preserve">mentored educational project in collaboration with an established ISCC-PEG project group. </w:t>
            </w:r>
            <w:r w:rsidR="00D2376A">
              <w:rPr>
                <w:rFonts w:ascii="Times New Roman" w:hAnsi="Times New Roman"/>
                <w:sz w:val="24"/>
                <w:szCs w:val="24"/>
              </w:rPr>
              <w:t xml:space="preserve">Applications are due Nov. 1, 2022. For more information, see: </w:t>
            </w:r>
            <w:hyperlink r:id="rId9" w:history="1">
              <w:r w:rsidR="00D2376A" w:rsidRPr="004108C7">
                <w:rPr>
                  <w:rStyle w:val="Hyperlink"/>
                  <w:rFonts w:ascii="Times New Roman" w:hAnsi="Times New Roman"/>
                  <w:sz w:val="24"/>
                  <w:szCs w:val="24"/>
                </w:rPr>
                <w:t>https://www.genome.gov/careers-training/Professional-Development-Programs/ISCC-PEG-Scholars-Program</w:t>
              </w:r>
            </w:hyperlink>
            <w:r w:rsidR="00D2376A">
              <w:rPr>
                <w:rFonts w:ascii="Times New Roman" w:hAnsi="Times New Roman"/>
                <w:sz w:val="24"/>
                <w:szCs w:val="24"/>
              </w:rPr>
              <w:t xml:space="preserve">. </w:t>
            </w:r>
          </w:p>
          <w:p w14:paraId="45A1DB3F" w14:textId="242BB72C" w:rsidR="002152B7" w:rsidRDefault="00834F48" w:rsidP="002152B7">
            <w:pPr>
              <w:pStyle w:val="ListParagraph"/>
              <w:widowControl/>
              <w:numPr>
                <w:ilvl w:val="0"/>
                <w:numId w:val="30"/>
              </w:numPr>
              <w:rPr>
                <w:rFonts w:ascii="Times New Roman" w:hAnsi="Times New Roman"/>
                <w:sz w:val="24"/>
                <w:szCs w:val="24"/>
              </w:rPr>
            </w:pPr>
            <w:r>
              <w:rPr>
                <w:rFonts w:ascii="Times New Roman" w:hAnsi="Times New Roman"/>
                <w:sz w:val="24"/>
                <w:szCs w:val="24"/>
              </w:rPr>
              <w:t xml:space="preserve">The 2023 </w:t>
            </w:r>
            <w:r w:rsidR="002152B7">
              <w:rPr>
                <w:rFonts w:ascii="Times New Roman" w:hAnsi="Times New Roman"/>
                <w:sz w:val="24"/>
                <w:szCs w:val="24"/>
              </w:rPr>
              <w:t>Healthcare Professionals Genomic Education Week</w:t>
            </w:r>
            <w:r w:rsidR="00A46397">
              <w:rPr>
                <w:rFonts w:ascii="Times New Roman" w:hAnsi="Times New Roman"/>
                <w:sz w:val="24"/>
                <w:szCs w:val="24"/>
              </w:rPr>
              <w:t xml:space="preserve"> </w:t>
            </w:r>
            <w:r>
              <w:rPr>
                <w:rFonts w:ascii="Times New Roman" w:hAnsi="Times New Roman"/>
                <w:sz w:val="24"/>
                <w:szCs w:val="24"/>
              </w:rPr>
              <w:t xml:space="preserve">is scheduled for </w:t>
            </w:r>
            <w:r w:rsidR="00A46397">
              <w:rPr>
                <w:rFonts w:ascii="Times New Roman" w:hAnsi="Times New Roman"/>
                <w:sz w:val="24"/>
                <w:szCs w:val="24"/>
              </w:rPr>
              <w:t xml:space="preserve">June 5-9, 2023. </w:t>
            </w:r>
            <w:r>
              <w:rPr>
                <w:rFonts w:ascii="Times New Roman" w:hAnsi="Times New Roman"/>
                <w:sz w:val="24"/>
                <w:szCs w:val="24"/>
              </w:rPr>
              <w:t>This is a s</w:t>
            </w:r>
            <w:r w:rsidR="00A46397">
              <w:rPr>
                <w:rFonts w:ascii="Times New Roman" w:hAnsi="Times New Roman"/>
                <w:sz w:val="24"/>
                <w:szCs w:val="24"/>
              </w:rPr>
              <w:t>ocial media campaign to advance genomics broadly.</w:t>
            </w:r>
            <w:r>
              <w:rPr>
                <w:rFonts w:ascii="Times New Roman" w:hAnsi="Times New Roman"/>
                <w:sz w:val="24"/>
                <w:szCs w:val="24"/>
              </w:rPr>
              <w:t xml:space="preserve"> There is o</w:t>
            </w:r>
            <w:r w:rsidR="00A46397">
              <w:rPr>
                <w:rFonts w:ascii="Times New Roman" w:hAnsi="Times New Roman"/>
                <w:sz w:val="24"/>
                <w:szCs w:val="24"/>
              </w:rPr>
              <w:t xml:space="preserve">ne theme each day (including </w:t>
            </w:r>
            <w:r w:rsidR="00A46397">
              <w:rPr>
                <w:rFonts w:ascii="Times New Roman" w:hAnsi="Times New Roman"/>
                <w:sz w:val="24"/>
                <w:szCs w:val="24"/>
              </w:rPr>
              <w:lastRenderedPageBreak/>
              <w:t xml:space="preserve">pharmacogenomics). </w:t>
            </w:r>
            <w:r>
              <w:rPr>
                <w:rFonts w:ascii="Times New Roman" w:hAnsi="Times New Roman"/>
                <w:sz w:val="24"/>
                <w:szCs w:val="24"/>
              </w:rPr>
              <w:t>The s</w:t>
            </w:r>
            <w:r w:rsidR="00A46397">
              <w:rPr>
                <w:rFonts w:ascii="Times New Roman" w:hAnsi="Times New Roman"/>
                <w:sz w:val="24"/>
                <w:szCs w:val="24"/>
              </w:rPr>
              <w:t xml:space="preserve">ubmission form will be available shortly if you would like to be involved. </w:t>
            </w:r>
          </w:p>
          <w:p w14:paraId="4F2713C7" w14:textId="59EF1FBF" w:rsidR="00F46E67" w:rsidRPr="00834F48" w:rsidRDefault="00F46E67" w:rsidP="002B0CAE">
            <w:pPr>
              <w:pStyle w:val="ListParagraph"/>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292E9621" w14:textId="4222AF5E" w:rsidR="0064790C" w:rsidRPr="000F4665" w:rsidRDefault="00834F48"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Email Phil Empey (</w:t>
            </w:r>
            <w:hyperlink r:id="rId10" w:history="1">
              <w:r w:rsidRPr="004108C7">
                <w:rPr>
                  <w:rStyle w:val="Hyperlink"/>
                  <w:rFonts w:ascii="Times New Roman" w:hAnsi="Times New Roman"/>
                  <w:sz w:val="24"/>
                  <w:szCs w:val="24"/>
                </w:rPr>
                <w:t>pempey@pitt.edu</w:t>
              </w:r>
            </w:hyperlink>
            <w:r>
              <w:rPr>
                <w:rFonts w:ascii="Times New Roman" w:hAnsi="Times New Roman"/>
                <w:sz w:val="24"/>
                <w:szCs w:val="24"/>
              </w:rPr>
              <w:t>) if you have any questions or are interested in joining ISCC-PEG</w:t>
            </w:r>
            <w:r w:rsidR="00AF6E2B">
              <w:rPr>
                <w:rFonts w:ascii="Times New Roman" w:hAnsi="Times New Roman"/>
                <w:sz w:val="24"/>
                <w:szCs w:val="24"/>
              </w:rPr>
              <w:t>.</w:t>
            </w: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6EEF7DD" w14:textId="78A7F1BB" w:rsidR="003633D7" w:rsidRDefault="003633D7" w:rsidP="0064790C">
            <w:pPr>
              <w:widowControl/>
              <w:rPr>
                <w:rFonts w:ascii="Times New Roman" w:hAnsi="Times New Roman"/>
                <w:sz w:val="24"/>
                <w:szCs w:val="24"/>
              </w:rPr>
            </w:pPr>
            <w:r>
              <w:rPr>
                <w:rFonts w:ascii="Times New Roman" w:hAnsi="Times New Roman"/>
                <w:sz w:val="24"/>
                <w:szCs w:val="24"/>
              </w:rPr>
              <w:t>Policy Opportunities to Improve Patient Access to Comprehensive Biomarker Testing</w:t>
            </w:r>
            <w:r w:rsidR="00834F48">
              <w:rPr>
                <w:rFonts w:ascii="Times New Roman" w:hAnsi="Times New Roman"/>
                <w:sz w:val="24"/>
                <w:szCs w:val="24"/>
              </w:rPr>
              <w:t xml:space="preserve"> – Hillary Gee </w:t>
            </w:r>
            <w:proofErr w:type="spellStart"/>
            <w:r w:rsidR="00834F48">
              <w:rPr>
                <w:rFonts w:ascii="Times New Roman" w:hAnsi="Times New Roman"/>
                <w:sz w:val="24"/>
                <w:szCs w:val="24"/>
              </w:rPr>
              <w:t>Goeckner</w:t>
            </w:r>
            <w:proofErr w:type="spellEnd"/>
            <w:r w:rsidR="00834F48">
              <w:rPr>
                <w:rFonts w:ascii="Times New Roman" w:hAnsi="Times New Roman"/>
                <w:sz w:val="24"/>
                <w:szCs w:val="24"/>
              </w:rPr>
              <w:t>, MSW</w:t>
            </w:r>
          </w:p>
          <w:p w14:paraId="585F6D94" w14:textId="77777777" w:rsidR="00121451" w:rsidRDefault="00121451" w:rsidP="0064790C">
            <w:pPr>
              <w:widowControl/>
              <w:rPr>
                <w:rFonts w:ascii="Times New Roman" w:hAnsi="Times New Roman"/>
                <w:sz w:val="24"/>
                <w:szCs w:val="24"/>
              </w:rPr>
            </w:pPr>
          </w:p>
          <w:p w14:paraId="7AC2DA2D" w14:textId="5FFBAFAA" w:rsidR="00121451" w:rsidRPr="00846BD3" w:rsidRDefault="00121451" w:rsidP="00121451">
            <w:pPr>
              <w:pStyle w:val="xmsolistparagraph"/>
              <w:shd w:val="clear" w:color="auto" w:fill="FFFFFF"/>
              <w:spacing w:before="0" w:beforeAutospacing="0" w:after="0" w:afterAutospacing="0"/>
            </w:pPr>
          </w:p>
        </w:tc>
        <w:tc>
          <w:tcPr>
            <w:tcW w:w="7462" w:type="dxa"/>
            <w:tcBorders>
              <w:top w:val="single" w:sz="6" w:space="0" w:color="000000"/>
              <w:left w:val="single" w:sz="6" w:space="0" w:color="000000"/>
              <w:bottom w:val="single" w:sz="6" w:space="0" w:color="000000"/>
              <w:right w:val="single" w:sz="6" w:space="0" w:color="000000"/>
            </w:tcBorders>
          </w:tcPr>
          <w:p w14:paraId="1321AE1A" w14:textId="32543A79" w:rsidR="00834F48" w:rsidRDefault="00834F48" w:rsidP="00834F48">
            <w:pPr>
              <w:widowControl/>
              <w:rPr>
                <w:rFonts w:ascii="Times New Roman" w:hAnsi="Times New Roman"/>
                <w:sz w:val="24"/>
                <w:szCs w:val="24"/>
              </w:rPr>
            </w:pPr>
            <w:r>
              <w:rPr>
                <w:rFonts w:ascii="Times New Roman" w:hAnsi="Times New Roman"/>
                <w:sz w:val="24"/>
                <w:szCs w:val="24"/>
              </w:rPr>
              <w:t xml:space="preserve">Hillary Gee </w:t>
            </w:r>
            <w:proofErr w:type="spellStart"/>
            <w:r>
              <w:rPr>
                <w:rFonts w:ascii="Times New Roman" w:hAnsi="Times New Roman"/>
                <w:sz w:val="24"/>
                <w:szCs w:val="24"/>
              </w:rPr>
              <w:t>Goeckner</w:t>
            </w:r>
            <w:proofErr w:type="spellEnd"/>
            <w:r>
              <w:rPr>
                <w:rFonts w:ascii="Times New Roman" w:hAnsi="Times New Roman"/>
                <w:sz w:val="24"/>
                <w:szCs w:val="24"/>
              </w:rPr>
              <w:t>, MSW, is the Director of State &amp; Local Campaigns of Access to Care for the American Cancer Society Cancer Action Network</w:t>
            </w:r>
            <w:r w:rsidR="00F46E67">
              <w:rPr>
                <w:rFonts w:ascii="Times New Roman" w:hAnsi="Times New Roman"/>
                <w:sz w:val="24"/>
                <w:szCs w:val="24"/>
              </w:rPr>
              <w:t xml:space="preserve"> (ACS CAN)</w:t>
            </w:r>
            <w:r>
              <w:rPr>
                <w:rFonts w:ascii="Times New Roman" w:hAnsi="Times New Roman"/>
                <w:sz w:val="24"/>
                <w:szCs w:val="24"/>
              </w:rPr>
              <w:t xml:space="preserve">. She provided an overview of the importance of biomarker testing in oncology and the barrier of limited insurance coverage. She also highlighted disparities in access to biomarker testing based on race, socioeconomic status, and treatment setting (e.g., community vs. academic medical center). Lack of insurance coverage is the most frequently mentioned concern as a barrier to biomarker testing. Coverage differs greatly across payers, and payers are not keeping pace with clinical guidelines and evidence. </w:t>
            </w:r>
            <w:r w:rsidR="00F46E67">
              <w:rPr>
                <w:rFonts w:ascii="Times New Roman" w:hAnsi="Times New Roman"/>
                <w:sz w:val="24"/>
                <w:szCs w:val="24"/>
              </w:rPr>
              <w:t>There is broad patient and provider support for biomarker testing.</w:t>
            </w:r>
          </w:p>
          <w:p w14:paraId="15820E2A" w14:textId="39662358" w:rsidR="00AB6550" w:rsidRDefault="00AB6550" w:rsidP="003633D7">
            <w:pPr>
              <w:widowControl/>
              <w:rPr>
                <w:rFonts w:ascii="Times New Roman" w:hAnsi="Times New Roman"/>
                <w:sz w:val="24"/>
                <w:szCs w:val="24"/>
              </w:rPr>
            </w:pPr>
          </w:p>
          <w:p w14:paraId="1E66C8C1" w14:textId="7CF8E542" w:rsidR="00AB6550" w:rsidRDefault="00834F48" w:rsidP="003633D7">
            <w:pPr>
              <w:widowControl/>
              <w:rPr>
                <w:rFonts w:ascii="Times New Roman" w:hAnsi="Times New Roman"/>
                <w:sz w:val="24"/>
                <w:szCs w:val="24"/>
              </w:rPr>
            </w:pPr>
            <w:r>
              <w:rPr>
                <w:rFonts w:ascii="Times New Roman" w:hAnsi="Times New Roman"/>
                <w:sz w:val="24"/>
                <w:szCs w:val="24"/>
              </w:rPr>
              <w:t xml:space="preserve">The </w:t>
            </w:r>
            <w:r w:rsidR="006768A0">
              <w:rPr>
                <w:rFonts w:ascii="Times New Roman" w:hAnsi="Times New Roman"/>
                <w:sz w:val="24"/>
                <w:szCs w:val="24"/>
              </w:rPr>
              <w:t>ACS CAN</w:t>
            </w:r>
            <w:r>
              <w:rPr>
                <w:rFonts w:ascii="Times New Roman" w:hAnsi="Times New Roman"/>
                <w:sz w:val="24"/>
                <w:szCs w:val="24"/>
              </w:rPr>
              <w:t xml:space="preserve"> has d</w:t>
            </w:r>
            <w:r w:rsidR="00AB6550">
              <w:rPr>
                <w:rFonts w:ascii="Times New Roman" w:hAnsi="Times New Roman"/>
                <w:sz w:val="24"/>
                <w:szCs w:val="24"/>
              </w:rPr>
              <w:t xml:space="preserve">eveloped legislation to address </w:t>
            </w:r>
            <w:r>
              <w:rPr>
                <w:rFonts w:ascii="Times New Roman" w:hAnsi="Times New Roman"/>
                <w:sz w:val="24"/>
                <w:szCs w:val="24"/>
              </w:rPr>
              <w:t xml:space="preserve">insurance </w:t>
            </w:r>
            <w:r w:rsidR="00AB6550">
              <w:rPr>
                <w:rFonts w:ascii="Times New Roman" w:hAnsi="Times New Roman"/>
                <w:sz w:val="24"/>
                <w:szCs w:val="24"/>
              </w:rPr>
              <w:t>coverage</w:t>
            </w:r>
            <w:r>
              <w:rPr>
                <w:rFonts w:ascii="Times New Roman" w:hAnsi="Times New Roman"/>
                <w:sz w:val="24"/>
                <w:szCs w:val="24"/>
              </w:rPr>
              <w:t>, which will r</w:t>
            </w:r>
            <w:r w:rsidR="00AB6550">
              <w:rPr>
                <w:rFonts w:ascii="Times New Roman" w:hAnsi="Times New Roman"/>
                <w:sz w:val="24"/>
                <w:szCs w:val="24"/>
              </w:rPr>
              <w:t>equire</w:t>
            </w:r>
            <w:r>
              <w:rPr>
                <w:rFonts w:ascii="Times New Roman" w:hAnsi="Times New Roman"/>
                <w:sz w:val="24"/>
                <w:szCs w:val="24"/>
              </w:rPr>
              <w:t xml:space="preserve"> </w:t>
            </w:r>
            <w:r w:rsidR="00AB6550">
              <w:rPr>
                <w:rFonts w:ascii="Times New Roman" w:hAnsi="Times New Roman"/>
                <w:sz w:val="24"/>
                <w:szCs w:val="24"/>
              </w:rPr>
              <w:t xml:space="preserve">state-regulated insurance plans </w:t>
            </w:r>
            <w:r>
              <w:rPr>
                <w:rFonts w:ascii="Times New Roman" w:hAnsi="Times New Roman"/>
                <w:sz w:val="24"/>
                <w:szCs w:val="24"/>
              </w:rPr>
              <w:t>(</w:t>
            </w:r>
            <w:r w:rsidR="00AB6550">
              <w:rPr>
                <w:rFonts w:ascii="Times New Roman" w:hAnsi="Times New Roman"/>
                <w:sz w:val="24"/>
                <w:szCs w:val="24"/>
              </w:rPr>
              <w:t>including Medicaid</w:t>
            </w:r>
            <w:r>
              <w:rPr>
                <w:rFonts w:ascii="Times New Roman" w:hAnsi="Times New Roman"/>
                <w:sz w:val="24"/>
                <w:szCs w:val="24"/>
              </w:rPr>
              <w:t>)</w:t>
            </w:r>
            <w:r w:rsidR="00AB6550">
              <w:rPr>
                <w:rFonts w:ascii="Times New Roman" w:hAnsi="Times New Roman"/>
                <w:sz w:val="24"/>
                <w:szCs w:val="24"/>
              </w:rPr>
              <w:t xml:space="preserve"> to cover comprehensive biomarker testing when supported by medical and scientific evidence</w:t>
            </w:r>
            <w:r>
              <w:rPr>
                <w:rFonts w:ascii="Times New Roman" w:hAnsi="Times New Roman"/>
                <w:sz w:val="24"/>
                <w:szCs w:val="24"/>
              </w:rPr>
              <w:t xml:space="preserve">. This legislation is </w:t>
            </w:r>
            <w:r w:rsidR="00AB6550">
              <w:rPr>
                <w:rFonts w:ascii="Times New Roman" w:hAnsi="Times New Roman"/>
                <w:sz w:val="24"/>
                <w:szCs w:val="24"/>
              </w:rPr>
              <w:t>disease and stage agnosti</w:t>
            </w:r>
            <w:r>
              <w:rPr>
                <w:rFonts w:ascii="Times New Roman" w:hAnsi="Times New Roman"/>
                <w:sz w:val="24"/>
                <w:szCs w:val="24"/>
              </w:rPr>
              <w:t>c:</w:t>
            </w:r>
            <w:r w:rsidR="00AB6550">
              <w:rPr>
                <w:rFonts w:ascii="Times New Roman" w:hAnsi="Times New Roman"/>
                <w:sz w:val="24"/>
                <w:szCs w:val="24"/>
              </w:rPr>
              <w:t xml:space="preserve"> </w:t>
            </w:r>
          </w:p>
          <w:p w14:paraId="68D44D0C" w14:textId="339CB2E8" w:rsidR="00AB6550" w:rsidRPr="00834F48" w:rsidRDefault="00AB6550" w:rsidP="003633D7">
            <w:pPr>
              <w:widowControl/>
              <w:rPr>
                <w:rFonts w:ascii="Times New Roman" w:hAnsi="Times New Roman"/>
                <w:i/>
                <w:iCs/>
                <w:sz w:val="24"/>
                <w:szCs w:val="24"/>
              </w:rPr>
            </w:pPr>
          </w:p>
          <w:p w14:paraId="1D883730" w14:textId="0EDF95F7" w:rsidR="00AB6550" w:rsidRPr="00834F48" w:rsidRDefault="005C32FD" w:rsidP="003633D7">
            <w:pPr>
              <w:widowControl/>
              <w:rPr>
                <w:rFonts w:ascii="Times New Roman" w:hAnsi="Times New Roman"/>
                <w:i/>
                <w:iCs/>
                <w:sz w:val="24"/>
                <w:szCs w:val="24"/>
              </w:rPr>
            </w:pPr>
            <w:r w:rsidRPr="00834F48">
              <w:rPr>
                <w:rFonts w:ascii="Times New Roman" w:hAnsi="Times New Roman"/>
                <w:i/>
                <w:iCs/>
                <w:sz w:val="24"/>
                <w:szCs w:val="24"/>
              </w:rPr>
              <w:t>Biomarker testing must be covered for the purposes of diagnosis, treatment, appropriate management, or ongoing monitoring of an enrollee’s disease or condition when the test is supported by medical and scientific evidence, including, but not limited to:</w:t>
            </w:r>
          </w:p>
          <w:p w14:paraId="3288CCAB" w14:textId="482839E1" w:rsidR="005C32FD" w:rsidRPr="00834F48" w:rsidRDefault="005C32FD" w:rsidP="005C32FD">
            <w:pPr>
              <w:pStyle w:val="ListParagraph"/>
              <w:widowControl/>
              <w:numPr>
                <w:ilvl w:val="0"/>
                <w:numId w:val="32"/>
              </w:numPr>
              <w:rPr>
                <w:rFonts w:ascii="Times New Roman" w:hAnsi="Times New Roman"/>
                <w:i/>
                <w:iCs/>
                <w:sz w:val="24"/>
                <w:szCs w:val="24"/>
              </w:rPr>
            </w:pPr>
            <w:r w:rsidRPr="00834F48">
              <w:rPr>
                <w:rFonts w:ascii="Times New Roman" w:hAnsi="Times New Roman"/>
                <w:i/>
                <w:iCs/>
                <w:sz w:val="24"/>
                <w:szCs w:val="24"/>
              </w:rPr>
              <w:t xml:space="preserve">Labeled indications for an FDA-approved or -cleared </w:t>
            </w:r>
            <w:proofErr w:type="gramStart"/>
            <w:r w:rsidRPr="00834F48">
              <w:rPr>
                <w:rFonts w:ascii="Times New Roman" w:hAnsi="Times New Roman"/>
                <w:i/>
                <w:iCs/>
                <w:sz w:val="24"/>
                <w:szCs w:val="24"/>
              </w:rPr>
              <w:t>test;</w:t>
            </w:r>
            <w:proofErr w:type="gramEnd"/>
          </w:p>
          <w:p w14:paraId="33BA9405" w14:textId="4A413FD5" w:rsidR="005C32FD" w:rsidRPr="00834F48" w:rsidRDefault="005C32FD" w:rsidP="005C32FD">
            <w:pPr>
              <w:pStyle w:val="ListParagraph"/>
              <w:widowControl/>
              <w:numPr>
                <w:ilvl w:val="0"/>
                <w:numId w:val="32"/>
              </w:numPr>
              <w:rPr>
                <w:rFonts w:ascii="Times New Roman" w:hAnsi="Times New Roman"/>
                <w:i/>
                <w:iCs/>
                <w:sz w:val="24"/>
                <w:szCs w:val="24"/>
              </w:rPr>
            </w:pPr>
            <w:r w:rsidRPr="00834F48">
              <w:rPr>
                <w:rFonts w:ascii="Times New Roman" w:hAnsi="Times New Roman"/>
                <w:i/>
                <w:iCs/>
                <w:sz w:val="24"/>
                <w:szCs w:val="24"/>
              </w:rPr>
              <w:t xml:space="preserve">Indicated tests for an FDA-approved </w:t>
            </w:r>
            <w:proofErr w:type="gramStart"/>
            <w:r w:rsidRPr="00834F48">
              <w:rPr>
                <w:rFonts w:ascii="Times New Roman" w:hAnsi="Times New Roman"/>
                <w:i/>
                <w:iCs/>
                <w:sz w:val="24"/>
                <w:szCs w:val="24"/>
              </w:rPr>
              <w:t>drug;</w:t>
            </w:r>
            <w:proofErr w:type="gramEnd"/>
          </w:p>
          <w:p w14:paraId="48BC3346" w14:textId="443AB914" w:rsidR="005C32FD" w:rsidRPr="00834F48" w:rsidRDefault="005C32FD" w:rsidP="005C32FD">
            <w:pPr>
              <w:pStyle w:val="ListParagraph"/>
              <w:widowControl/>
              <w:numPr>
                <w:ilvl w:val="0"/>
                <w:numId w:val="32"/>
              </w:numPr>
              <w:rPr>
                <w:rFonts w:ascii="Times New Roman" w:hAnsi="Times New Roman"/>
                <w:i/>
                <w:iCs/>
                <w:sz w:val="24"/>
                <w:szCs w:val="24"/>
              </w:rPr>
            </w:pPr>
            <w:r w:rsidRPr="00834F48">
              <w:rPr>
                <w:rFonts w:ascii="Times New Roman" w:hAnsi="Times New Roman"/>
                <w:i/>
                <w:iCs/>
                <w:sz w:val="24"/>
                <w:szCs w:val="24"/>
              </w:rPr>
              <w:t xml:space="preserve">Warnings and precautions on FDA-approved drug </w:t>
            </w:r>
            <w:proofErr w:type="gramStart"/>
            <w:r w:rsidRPr="00834F48">
              <w:rPr>
                <w:rFonts w:ascii="Times New Roman" w:hAnsi="Times New Roman"/>
                <w:i/>
                <w:iCs/>
                <w:sz w:val="24"/>
                <w:szCs w:val="24"/>
              </w:rPr>
              <w:t>labels;</w:t>
            </w:r>
            <w:proofErr w:type="gramEnd"/>
          </w:p>
          <w:p w14:paraId="3C91678F" w14:textId="1BDB00EB" w:rsidR="005C32FD" w:rsidRPr="00834F48" w:rsidRDefault="005C32FD" w:rsidP="005C32FD">
            <w:pPr>
              <w:pStyle w:val="ListParagraph"/>
              <w:widowControl/>
              <w:numPr>
                <w:ilvl w:val="0"/>
                <w:numId w:val="32"/>
              </w:numPr>
              <w:rPr>
                <w:rFonts w:ascii="Times New Roman" w:hAnsi="Times New Roman"/>
                <w:i/>
                <w:iCs/>
                <w:sz w:val="24"/>
                <w:szCs w:val="24"/>
              </w:rPr>
            </w:pPr>
            <w:r w:rsidRPr="00834F48">
              <w:rPr>
                <w:rFonts w:ascii="Times New Roman" w:hAnsi="Times New Roman"/>
                <w:i/>
                <w:iCs/>
                <w:sz w:val="24"/>
                <w:szCs w:val="24"/>
              </w:rPr>
              <w:t>Centers for Medicare and Medicaid (CMS) National Coverage Determinations and Medicare Administrative Contractor (MAC) Local Coverage Determinations; or</w:t>
            </w:r>
          </w:p>
          <w:p w14:paraId="3BBF0A3E" w14:textId="6EB7D968" w:rsidR="005C32FD" w:rsidRDefault="005C32FD" w:rsidP="005C32FD">
            <w:pPr>
              <w:pStyle w:val="ListParagraph"/>
              <w:widowControl/>
              <w:numPr>
                <w:ilvl w:val="0"/>
                <w:numId w:val="32"/>
              </w:numPr>
              <w:rPr>
                <w:rFonts w:ascii="Times New Roman" w:hAnsi="Times New Roman"/>
                <w:i/>
                <w:iCs/>
                <w:sz w:val="24"/>
                <w:szCs w:val="24"/>
              </w:rPr>
            </w:pPr>
            <w:r w:rsidRPr="00834F48">
              <w:rPr>
                <w:rFonts w:ascii="Times New Roman" w:hAnsi="Times New Roman"/>
                <w:i/>
                <w:iCs/>
                <w:sz w:val="24"/>
                <w:szCs w:val="24"/>
              </w:rPr>
              <w:t xml:space="preserve">Nationally recognized clinical practice guidelines and consensus statements </w:t>
            </w:r>
          </w:p>
          <w:p w14:paraId="1E1C52C9" w14:textId="4D43C8F7" w:rsidR="00F46E67" w:rsidRDefault="00F46E67" w:rsidP="00F46E67">
            <w:pPr>
              <w:widowControl/>
              <w:rPr>
                <w:rFonts w:ascii="Times New Roman" w:hAnsi="Times New Roman"/>
                <w:i/>
                <w:iCs/>
                <w:sz w:val="24"/>
                <w:szCs w:val="24"/>
              </w:rPr>
            </w:pPr>
          </w:p>
          <w:p w14:paraId="4FED012A" w14:textId="5962B271" w:rsidR="005C32FD" w:rsidRDefault="00F46E67" w:rsidP="005C32FD">
            <w:pPr>
              <w:widowControl/>
              <w:rPr>
                <w:rFonts w:ascii="Times New Roman" w:hAnsi="Times New Roman"/>
                <w:sz w:val="24"/>
                <w:szCs w:val="24"/>
              </w:rPr>
            </w:pPr>
            <w:r>
              <w:rPr>
                <w:rFonts w:ascii="Times New Roman" w:hAnsi="Times New Roman"/>
                <w:sz w:val="24"/>
                <w:szCs w:val="24"/>
              </w:rPr>
              <w:t xml:space="preserve">This legislation has passed in AZ, IL, LA, and RI, and is expected </w:t>
            </w:r>
            <w:r w:rsidR="006768A0">
              <w:rPr>
                <w:rFonts w:ascii="Times New Roman" w:hAnsi="Times New Roman"/>
                <w:sz w:val="24"/>
                <w:szCs w:val="24"/>
              </w:rPr>
              <w:t xml:space="preserve">to be considered </w:t>
            </w:r>
            <w:r>
              <w:rPr>
                <w:rFonts w:ascii="Times New Roman" w:hAnsi="Times New Roman"/>
                <w:sz w:val="24"/>
                <w:szCs w:val="24"/>
              </w:rPr>
              <w:t xml:space="preserve">in several other states in 2023. For more information, see: </w:t>
            </w:r>
            <w:hyperlink r:id="rId11" w:history="1">
              <w:r w:rsidRPr="004108C7">
                <w:rPr>
                  <w:rStyle w:val="Hyperlink"/>
                  <w:rFonts w:ascii="Times New Roman" w:hAnsi="Times New Roman"/>
                  <w:sz w:val="24"/>
                  <w:szCs w:val="24"/>
                </w:rPr>
                <w:t>www.fightcancer.org/biomarkers</w:t>
              </w:r>
            </w:hyperlink>
            <w:r>
              <w:rPr>
                <w:rFonts w:ascii="Times New Roman" w:hAnsi="Times New Roman"/>
                <w:sz w:val="24"/>
                <w:szCs w:val="24"/>
              </w:rPr>
              <w:t xml:space="preserve">  </w:t>
            </w:r>
          </w:p>
          <w:p w14:paraId="2038E7DC" w14:textId="2F39BF85" w:rsidR="00F46E67" w:rsidRPr="003633D7" w:rsidRDefault="00F46E67" w:rsidP="003633D7">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047D6743" w14:textId="0DD56AB9" w:rsidR="00F46E67" w:rsidRDefault="00F46E67" w:rsidP="00F46E67">
            <w:pPr>
              <w:widowControl/>
              <w:rPr>
                <w:rFonts w:ascii="Times New Roman" w:hAnsi="Times New Roman"/>
                <w:sz w:val="24"/>
                <w:szCs w:val="24"/>
              </w:rPr>
            </w:pPr>
            <w:r w:rsidRPr="00AE5F0A">
              <w:rPr>
                <w:rFonts w:ascii="Times New Roman" w:hAnsi="Times New Roman"/>
                <w:sz w:val="24"/>
                <w:szCs w:val="24"/>
              </w:rPr>
              <w:t xml:space="preserve">If you'd like to get involved in </w:t>
            </w:r>
            <w:r>
              <w:rPr>
                <w:rFonts w:ascii="Times New Roman" w:hAnsi="Times New Roman"/>
                <w:sz w:val="24"/>
                <w:szCs w:val="24"/>
              </w:rPr>
              <w:t xml:space="preserve">the </w:t>
            </w:r>
            <w:r w:rsidRPr="00AE5F0A">
              <w:rPr>
                <w:rFonts w:ascii="Times New Roman" w:hAnsi="Times New Roman"/>
                <w:sz w:val="24"/>
                <w:szCs w:val="24"/>
              </w:rPr>
              <w:t>ACS CAN's biomarker testing campaign work in your state or sign an organization on in support of this work, please reach out to</w:t>
            </w:r>
            <w:r>
              <w:rPr>
                <w:rFonts w:ascii="Times New Roman" w:hAnsi="Times New Roman"/>
                <w:sz w:val="24"/>
                <w:szCs w:val="24"/>
              </w:rPr>
              <w:t xml:space="preserve"> Hillary at </w:t>
            </w:r>
            <w:hyperlink r:id="rId12" w:history="1">
              <w:r w:rsidRPr="004108C7">
                <w:rPr>
                  <w:rStyle w:val="Hyperlink"/>
                  <w:rFonts w:ascii="Times New Roman" w:hAnsi="Times New Roman"/>
                  <w:sz w:val="24"/>
                  <w:szCs w:val="24"/>
                </w:rPr>
                <w:t>Hilary.Gee@cancer.org</w:t>
              </w:r>
            </w:hyperlink>
            <w:r w:rsidR="00AF6E2B">
              <w:rPr>
                <w:rFonts w:ascii="Times New Roman" w:hAnsi="Times New Roman"/>
                <w:sz w:val="24"/>
                <w:szCs w:val="24"/>
              </w:rPr>
              <w:t>.</w:t>
            </w:r>
          </w:p>
          <w:p w14:paraId="4223B1F9" w14:textId="16FA9FD2" w:rsidR="002F51AE" w:rsidRPr="000F4665" w:rsidRDefault="002F51AE"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r w:rsidR="002B10B7" w:rsidRPr="000F4665" w14:paraId="3802818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57E5FE7A" w14:textId="4CC1DE1E" w:rsidR="002B10B7" w:rsidRDefault="002152B7" w:rsidP="0064790C">
            <w:pPr>
              <w:widowControl/>
              <w:rPr>
                <w:rFonts w:ascii="Times New Roman" w:hAnsi="Times New Roman"/>
                <w:sz w:val="24"/>
                <w:szCs w:val="24"/>
              </w:rPr>
            </w:pPr>
            <w:r>
              <w:rPr>
                <w:rFonts w:ascii="Times New Roman" w:hAnsi="Times New Roman"/>
                <w:sz w:val="24"/>
                <w:szCs w:val="24"/>
              </w:rPr>
              <w:lastRenderedPageBreak/>
              <w:t>ClinGen P</w:t>
            </w:r>
            <w:r w:rsidR="00F24687">
              <w:rPr>
                <w:rFonts w:ascii="Times New Roman" w:hAnsi="Times New Roman"/>
                <w:sz w:val="24"/>
                <w:szCs w:val="24"/>
              </w:rPr>
              <w:t>harmacogenomics</w:t>
            </w:r>
            <w:r>
              <w:rPr>
                <w:rFonts w:ascii="Times New Roman" w:hAnsi="Times New Roman"/>
                <w:sz w:val="24"/>
                <w:szCs w:val="24"/>
              </w:rPr>
              <w:t xml:space="preserve"> Working Group </w:t>
            </w:r>
            <w:r w:rsidR="00F24687">
              <w:rPr>
                <w:rFonts w:ascii="Times New Roman" w:hAnsi="Times New Roman"/>
                <w:sz w:val="24"/>
                <w:szCs w:val="24"/>
              </w:rPr>
              <w:t>(</w:t>
            </w:r>
            <w:proofErr w:type="spellStart"/>
            <w:r w:rsidR="00F24687">
              <w:rPr>
                <w:rFonts w:ascii="Times New Roman" w:hAnsi="Times New Roman"/>
                <w:sz w:val="24"/>
                <w:szCs w:val="24"/>
              </w:rPr>
              <w:t>PGxWG</w:t>
            </w:r>
            <w:proofErr w:type="spellEnd"/>
            <w:r w:rsidR="00F24687">
              <w:rPr>
                <w:rFonts w:ascii="Times New Roman" w:hAnsi="Times New Roman"/>
                <w:sz w:val="24"/>
                <w:szCs w:val="24"/>
              </w:rPr>
              <w:t xml:space="preserve">) </w:t>
            </w:r>
            <w:r>
              <w:rPr>
                <w:rFonts w:ascii="Times New Roman" w:hAnsi="Times New Roman"/>
                <w:sz w:val="24"/>
                <w:szCs w:val="24"/>
              </w:rPr>
              <w:t>– Michelle Whirl-Carrillo</w:t>
            </w:r>
            <w:r w:rsidR="00F46E67">
              <w:rPr>
                <w:rFonts w:ascii="Times New Roman" w:hAnsi="Times New Roman"/>
                <w:sz w:val="24"/>
                <w:szCs w:val="24"/>
              </w:rPr>
              <w:t>, PhD</w:t>
            </w:r>
            <w:r>
              <w:rPr>
                <w:rFonts w:ascii="Times New Roman" w:hAnsi="Times New Roman"/>
                <w:sz w:val="24"/>
                <w:szCs w:val="24"/>
              </w:rPr>
              <w:t xml:space="preserve"> and Stuart Scott</w:t>
            </w:r>
            <w:r w:rsidR="00F46E67">
              <w:rPr>
                <w:rFonts w:ascii="Times New Roman" w:hAnsi="Times New Roman"/>
                <w:sz w:val="24"/>
                <w:szCs w:val="24"/>
              </w:rPr>
              <w:t>, PhD</w:t>
            </w:r>
            <w:r w:rsidR="008546D1">
              <w:rPr>
                <w:rFonts w:ascii="Times New Roman" w:hAnsi="Times New Roman"/>
                <w:sz w:val="24"/>
                <w:szCs w:val="24"/>
              </w:rPr>
              <w:t xml:space="preserve"> </w:t>
            </w:r>
          </w:p>
        </w:tc>
        <w:tc>
          <w:tcPr>
            <w:tcW w:w="7462" w:type="dxa"/>
            <w:tcBorders>
              <w:top w:val="single" w:sz="6" w:space="0" w:color="000000"/>
              <w:left w:val="single" w:sz="6" w:space="0" w:color="000000"/>
              <w:bottom w:val="single" w:sz="6" w:space="0" w:color="000000"/>
              <w:right w:val="single" w:sz="6" w:space="0" w:color="000000"/>
            </w:tcBorders>
          </w:tcPr>
          <w:p w14:paraId="155AFBA7" w14:textId="59D7BDDD" w:rsidR="00AE5F0A" w:rsidRDefault="00F46E67" w:rsidP="00C06ACD">
            <w:pPr>
              <w:widowControl/>
              <w:rPr>
                <w:rFonts w:ascii="Times New Roman" w:hAnsi="Times New Roman"/>
                <w:sz w:val="24"/>
                <w:szCs w:val="24"/>
              </w:rPr>
            </w:pPr>
            <w:r>
              <w:rPr>
                <w:rFonts w:ascii="Times New Roman" w:hAnsi="Times New Roman"/>
                <w:sz w:val="24"/>
                <w:szCs w:val="24"/>
              </w:rPr>
              <w:t xml:space="preserve">Michelle Whirl-Carrillo and Stuart Scott provided an overview of the Clinical Genome Resource (ClinGen; </w:t>
            </w:r>
            <w:hyperlink r:id="rId13" w:history="1">
              <w:r w:rsidRPr="004108C7">
                <w:rPr>
                  <w:rStyle w:val="Hyperlink"/>
                  <w:rFonts w:ascii="Times New Roman" w:hAnsi="Times New Roman"/>
                  <w:sz w:val="24"/>
                  <w:szCs w:val="24"/>
                </w:rPr>
                <w:t>https://clinicalgenome.org/</w:t>
              </w:r>
            </w:hyperlink>
            <w:r>
              <w:rPr>
                <w:rFonts w:ascii="Times New Roman" w:hAnsi="Times New Roman"/>
                <w:sz w:val="24"/>
                <w:szCs w:val="24"/>
              </w:rPr>
              <w:t>) and associated pharmacogenomics initiatives</w:t>
            </w:r>
            <w:r w:rsidR="00E40BAF">
              <w:rPr>
                <w:rFonts w:ascii="Times New Roman" w:hAnsi="Times New Roman"/>
                <w:sz w:val="24"/>
                <w:szCs w:val="24"/>
              </w:rPr>
              <w:t xml:space="preserve"> including the </w:t>
            </w:r>
            <w:proofErr w:type="gramStart"/>
            <w:r w:rsidR="00E40BAF">
              <w:rPr>
                <w:rFonts w:ascii="Times New Roman" w:hAnsi="Times New Roman"/>
                <w:sz w:val="24"/>
                <w:szCs w:val="24"/>
              </w:rPr>
              <w:t>newly-formed</w:t>
            </w:r>
            <w:proofErr w:type="gramEnd"/>
            <w:r w:rsidR="00E40BAF">
              <w:rPr>
                <w:rFonts w:ascii="Times New Roman" w:hAnsi="Times New Roman"/>
                <w:sz w:val="24"/>
                <w:szCs w:val="24"/>
              </w:rPr>
              <w:t xml:space="preserve"> Pharmacogenomics Working Group (</w:t>
            </w:r>
            <w:proofErr w:type="spellStart"/>
            <w:r w:rsidR="00E40BAF">
              <w:rPr>
                <w:rFonts w:ascii="Times New Roman" w:hAnsi="Times New Roman"/>
                <w:sz w:val="24"/>
                <w:szCs w:val="24"/>
              </w:rPr>
              <w:t>PGxWG</w:t>
            </w:r>
            <w:proofErr w:type="spellEnd"/>
            <w:r w:rsidR="00E40BAF">
              <w:rPr>
                <w:rFonts w:ascii="Times New Roman" w:hAnsi="Times New Roman"/>
                <w:sz w:val="24"/>
                <w:szCs w:val="24"/>
              </w:rPr>
              <w:t>)</w:t>
            </w:r>
            <w:r>
              <w:rPr>
                <w:rFonts w:ascii="Times New Roman" w:hAnsi="Times New Roman"/>
                <w:sz w:val="24"/>
                <w:szCs w:val="24"/>
              </w:rPr>
              <w:t xml:space="preserve">. ClinGen </w:t>
            </w:r>
            <w:r w:rsidR="00F24687">
              <w:rPr>
                <w:rFonts w:ascii="Times New Roman" w:hAnsi="Times New Roman"/>
                <w:sz w:val="24"/>
                <w:szCs w:val="24"/>
              </w:rPr>
              <w:t xml:space="preserve">is funded by the National Human Genome Research Institute. </w:t>
            </w:r>
            <w:r>
              <w:rPr>
                <w:rFonts w:ascii="Times New Roman" w:hAnsi="Times New Roman"/>
                <w:sz w:val="24"/>
                <w:szCs w:val="24"/>
              </w:rPr>
              <w:t>It involves</w:t>
            </w:r>
            <w:r w:rsidR="00F24687">
              <w:rPr>
                <w:rFonts w:ascii="Times New Roman" w:hAnsi="Times New Roman"/>
                <w:sz w:val="24"/>
                <w:szCs w:val="24"/>
              </w:rPr>
              <w:t xml:space="preserve"> many individuals, working groups, and expert panels</w:t>
            </w:r>
            <w:r>
              <w:rPr>
                <w:rFonts w:ascii="Times New Roman" w:hAnsi="Times New Roman"/>
                <w:sz w:val="24"/>
                <w:szCs w:val="24"/>
              </w:rPr>
              <w:t>. The mission of ClinGen is to b</w:t>
            </w:r>
            <w:r w:rsidR="00F24687">
              <w:rPr>
                <w:rFonts w:ascii="Times New Roman" w:hAnsi="Times New Roman"/>
                <w:sz w:val="24"/>
                <w:szCs w:val="24"/>
              </w:rPr>
              <w:t xml:space="preserve">uild and support authoritative central resources that define the clinical relevance of genes and variants for use in precision medicine and research. </w:t>
            </w:r>
            <w:r>
              <w:rPr>
                <w:rFonts w:ascii="Times New Roman" w:hAnsi="Times New Roman"/>
                <w:sz w:val="24"/>
                <w:szCs w:val="24"/>
              </w:rPr>
              <w:t>The</w:t>
            </w:r>
            <w:r w:rsidR="00F83A2E">
              <w:rPr>
                <w:rFonts w:ascii="Times New Roman" w:hAnsi="Times New Roman"/>
                <w:sz w:val="24"/>
                <w:szCs w:val="24"/>
              </w:rPr>
              <w:t>ir</w:t>
            </w:r>
            <w:r>
              <w:rPr>
                <w:rFonts w:ascii="Times New Roman" w:hAnsi="Times New Roman"/>
                <w:sz w:val="24"/>
                <w:szCs w:val="24"/>
              </w:rPr>
              <w:t xml:space="preserve"> focus </w:t>
            </w:r>
            <w:r w:rsidR="00E40BAF">
              <w:rPr>
                <w:rFonts w:ascii="Times New Roman" w:hAnsi="Times New Roman"/>
                <w:sz w:val="24"/>
                <w:szCs w:val="24"/>
              </w:rPr>
              <w:t xml:space="preserve">to date has been </w:t>
            </w:r>
            <w:r>
              <w:rPr>
                <w:rFonts w:ascii="Times New Roman" w:hAnsi="Times New Roman"/>
                <w:sz w:val="24"/>
                <w:szCs w:val="24"/>
              </w:rPr>
              <w:t>m</w:t>
            </w:r>
            <w:r w:rsidR="00F83A2E">
              <w:rPr>
                <w:rFonts w:ascii="Times New Roman" w:hAnsi="Times New Roman"/>
                <w:sz w:val="24"/>
                <w:szCs w:val="24"/>
              </w:rPr>
              <w:t>ainly</w:t>
            </w:r>
            <w:r>
              <w:rPr>
                <w:rFonts w:ascii="Times New Roman" w:hAnsi="Times New Roman"/>
                <w:sz w:val="24"/>
                <w:szCs w:val="24"/>
              </w:rPr>
              <w:t xml:space="preserve"> disease genetics. The ClinGen team c</w:t>
            </w:r>
            <w:r w:rsidR="00AE5F0A">
              <w:rPr>
                <w:rFonts w:ascii="Times New Roman" w:hAnsi="Times New Roman"/>
                <w:sz w:val="24"/>
                <w:szCs w:val="24"/>
              </w:rPr>
              <w:t>urate</w:t>
            </w:r>
            <w:r>
              <w:rPr>
                <w:rFonts w:ascii="Times New Roman" w:hAnsi="Times New Roman"/>
                <w:sz w:val="24"/>
                <w:szCs w:val="24"/>
              </w:rPr>
              <w:t>s</w:t>
            </w:r>
            <w:r w:rsidR="00AE5F0A">
              <w:rPr>
                <w:rFonts w:ascii="Times New Roman" w:hAnsi="Times New Roman"/>
                <w:sz w:val="24"/>
                <w:szCs w:val="24"/>
              </w:rPr>
              <w:t xml:space="preserve"> the evidence</w:t>
            </w:r>
            <w:r>
              <w:rPr>
                <w:rFonts w:ascii="Times New Roman" w:hAnsi="Times New Roman"/>
                <w:sz w:val="24"/>
                <w:szCs w:val="24"/>
              </w:rPr>
              <w:t xml:space="preserve"> via</w:t>
            </w:r>
            <w:r w:rsidR="00AE5F0A">
              <w:rPr>
                <w:rFonts w:ascii="Times New Roman" w:hAnsi="Times New Roman"/>
                <w:sz w:val="24"/>
                <w:szCs w:val="24"/>
              </w:rPr>
              <w:t xml:space="preserve"> Gene and Variant Curation Expert Panels. </w:t>
            </w:r>
            <w:r>
              <w:rPr>
                <w:rFonts w:ascii="Times New Roman" w:hAnsi="Times New Roman"/>
                <w:sz w:val="24"/>
                <w:szCs w:val="24"/>
              </w:rPr>
              <w:t xml:space="preserve">There is an established ClinGen, CPIC, PharmGKB, Partnership to bring CPIC and PharmGKB information into the ClinGen website (see: </w:t>
            </w:r>
            <w:hyperlink r:id="rId14" w:history="1">
              <w:r w:rsidRPr="004108C7">
                <w:rPr>
                  <w:rStyle w:val="Hyperlink"/>
                  <w:rFonts w:ascii="Times New Roman" w:hAnsi="Times New Roman"/>
                  <w:sz w:val="24"/>
                  <w:szCs w:val="24"/>
                </w:rPr>
                <w:t>https://clinicalgenome.org/about/clingen-cpic-pharmgkb/</w:t>
              </w:r>
            </w:hyperlink>
            <w:r>
              <w:rPr>
                <w:rFonts w:ascii="Times New Roman" w:hAnsi="Times New Roman"/>
                <w:sz w:val="24"/>
                <w:szCs w:val="24"/>
              </w:rPr>
              <w:t xml:space="preserve">). </w:t>
            </w:r>
          </w:p>
          <w:p w14:paraId="6F0D2860" w14:textId="66D2DF89" w:rsidR="00F46E67" w:rsidRDefault="00F46E67" w:rsidP="00C06ACD">
            <w:pPr>
              <w:widowControl/>
              <w:rPr>
                <w:rFonts w:ascii="Times New Roman" w:hAnsi="Times New Roman"/>
                <w:sz w:val="24"/>
                <w:szCs w:val="24"/>
              </w:rPr>
            </w:pPr>
          </w:p>
          <w:p w14:paraId="10A65B1E" w14:textId="07D3E070" w:rsidR="00444AC4" w:rsidRDefault="00E40BAF" w:rsidP="00C06ACD">
            <w:pPr>
              <w:widowControl/>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PGxWG</w:t>
            </w:r>
            <w:proofErr w:type="spellEnd"/>
            <w:r w:rsidR="00F46E67">
              <w:rPr>
                <w:rFonts w:ascii="Times New Roman" w:hAnsi="Times New Roman"/>
                <w:sz w:val="24"/>
                <w:szCs w:val="24"/>
              </w:rPr>
              <w:t xml:space="preserve"> </w:t>
            </w:r>
            <w:r>
              <w:rPr>
                <w:rFonts w:ascii="Times New Roman" w:hAnsi="Times New Roman"/>
                <w:sz w:val="24"/>
                <w:szCs w:val="24"/>
              </w:rPr>
              <w:t xml:space="preserve">has </w:t>
            </w:r>
            <w:r w:rsidR="00F46E67">
              <w:rPr>
                <w:rFonts w:ascii="Times New Roman" w:hAnsi="Times New Roman"/>
                <w:sz w:val="24"/>
                <w:szCs w:val="24"/>
              </w:rPr>
              <w:t xml:space="preserve">members that span many fields and includes representation from CPIC. The goal of this group is to propose </w:t>
            </w:r>
            <w:r w:rsidR="00AE5F0A">
              <w:rPr>
                <w:rFonts w:ascii="Times New Roman" w:hAnsi="Times New Roman"/>
                <w:sz w:val="24"/>
                <w:szCs w:val="24"/>
              </w:rPr>
              <w:t xml:space="preserve">an evidence-based classification system for the clinical significance of pharmacogenomic variants </w:t>
            </w:r>
            <w:r>
              <w:rPr>
                <w:rFonts w:ascii="Times New Roman" w:hAnsi="Times New Roman"/>
                <w:sz w:val="24"/>
                <w:szCs w:val="24"/>
              </w:rPr>
              <w:t xml:space="preserve">and gene-drug phenotype validity assignments </w:t>
            </w:r>
            <w:r w:rsidR="00AE5F0A">
              <w:rPr>
                <w:rFonts w:ascii="Times New Roman" w:hAnsi="Times New Roman"/>
                <w:sz w:val="24"/>
                <w:szCs w:val="24"/>
              </w:rPr>
              <w:t xml:space="preserve">that leverage the expert curation of PharmGKB and CPIC that is consistent with other ClinGen </w:t>
            </w:r>
            <w:r w:rsidR="00F83A2E">
              <w:rPr>
                <w:rFonts w:ascii="Times New Roman" w:hAnsi="Times New Roman"/>
                <w:sz w:val="24"/>
                <w:szCs w:val="24"/>
              </w:rPr>
              <w:t xml:space="preserve">working group </w:t>
            </w:r>
            <w:r w:rsidR="00AE5F0A">
              <w:rPr>
                <w:rFonts w:ascii="Times New Roman" w:hAnsi="Times New Roman"/>
                <w:sz w:val="24"/>
                <w:szCs w:val="24"/>
              </w:rPr>
              <w:t xml:space="preserve">efforts, the ACMG guidelines for interpreting genetic variants implicated in Mendelian diseases, and AMP/ASCO/CAP standards and guidelines for interpreting sequence variants in cancer. </w:t>
            </w:r>
            <w:r w:rsidR="00F46E67">
              <w:rPr>
                <w:rFonts w:ascii="Times New Roman" w:hAnsi="Times New Roman"/>
                <w:sz w:val="24"/>
                <w:szCs w:val="24"/>
              </w:rPr>
              <w:t xml:space="preserve">This effort aims to be synergistic with the established CPIC allele curation and CPIC SOPs, not redundant. </w:t>
            </w:r>
          </w:p>
          <w:p w14:paraId="2D60854F" w14:textId="4ABBCA90" w:rsidR="00AE5F0A" w:rsidRDefault="00AE5F0A" w:rsidP="00C06ACD">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6AE6EC42" w14:textId="529DFCEE" w:rsidR="002B10B7" w:rsidRDefault="00E40BAF"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Email Michelle Whirl-Carrillo (</w:t>
            </w:r>
            <w:r>
              <w:t>mwcarrillo@stanford.edu</w:t>
            </w:r>
            <w:r>
              <w:rPr>
                <w:rFonts w:ascii="Times New Roman" w:hAnsi="Times New Roman"/>
                <w:sz w:val="24"/>
                <w:szCs w:val="24"/>
              </w:rPr>
              <w:t xml:space="preserve">) if you have any questions about the ClinGen </w:t>
            </w:r>
            <w:proofErr w:type="spellStart"/>
            <w:r>
              <w:rPr>
                <w:rFonts w:ascii="Times New Roman" w:hAnsi="Times New Roman"/>
                <w:sz w:val="24"/>
                <w:szCs w:val="24"/>
              </w:rPr>
              <w:t>PGxWG</w:t>
            </w:r>
            <w:proofErr w:type="spellEnd"/>
            <w:r>
              <w:rPr>
                <w:rFonts w:ascii="Times New Roman" w:hAnsi="Times New Roman"/>
                <w:sz w:val="24"/>
                <w:szCs w:val="24"/>
              </w:rPr>
              <w:t>.</w:t>
            </w:r>
          </w:p>
        </w:tc>
      </w:tr>
    </w:tbl>
    <w:p w14:paraId="6F76190E" w14:textId="0EC75285" w:rsidR="005B5B32" w:rsidRDefault="005B5B32" w:rsidP="00202A3C">
      <w:pPr>
        <w:pStyle w:val="xmsonormal"/>
        <w:shd w:val="clear" w:color="auto" w:fill="FFFFFF"/>
        <w:spacing w:before="0" w:beforeAutospacing="0" w:after="0" w:afterAutospacing="0"/>
        <w:rPr>
          <w:noProof/>
        </w:rPr>
      </w:pPr>
    </w:p>
    <w:p w14:paraId="0FB56474" w14:textId="7A093AB1" w:rsidR="00FC0F67" w:rsidRDefault="00FC0F67" w:rsidP="00202A3C">
      <w:pPr>
        <w:pStyle w:val="xmsonormal"/>
        <w:shd w:val="clear" w:color="auto" w:fill="FFFFFF"/>
        <w:spacing w:before="0" w:beforeAutospacing="0" w:after="0" w:afterAutospacing="0"/>
        <w:rPr>
          <w:noProof/>
        </w:rPr>
      </w:pPr>
    </w:p>
    <w:p w14:paraId="42A7CFCE" w14:textId="19FB02FE" w:rsidR="00FC0F67" w:rsidRPr="00202A3C" w:rsidRDefault="00FC0F67" w:rsidP="00202A3C">
      <w:pPr>
        <w:pStyle w:val="xmsonormal"/>
        <w:shd w:val="clear" w:color="auto" w:fill="FFFFFF"/>
        <w:spacing w:before="0" w:beforeAutospacing="0" w:after="0" w:afterAutospacing="0"/>
        <w:rPr>
          <w:rFonts w:ascii="Calibri" w:hAnsi="Calibri" w:cs="Calibri"/>
          <w:color w:val="201F1E"/>
          <w:sz w:val="22"/>
          <w:szCs w:val="22"/>
        </w:rPr>
      </w:pPr>
    </w:p>
    <w:sectPr w:rsidR="00FC0F67"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51BD" w14:textId="77777777" w:rsidR="005606EE" w:rsidRDefault="005606EE" w:rsidP="00E00679">
      <w:r>
        <w:separator/>
      </w:r>
    </w:p>
  </w:endnote>
  <w:endnote w:type="continuationSeparator" w:id="0">
    <w:p w14:paraId="090917B5" w14:textId="77777777" w:rsidR="005606EE" w:rsidRDefault="005606EE"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AB40" w14:textId="77777777" w:rsidR="005606EE" w:rsidRDefault="005606EE" w:rsidP="00E00679">
      <w:r>
        <w:separator/>
      </w:r>
    </w:p>
  </w:footnote>
  <w:footnote w:type="continuationSeparator" w:id="0">
    <w:p w14:paraId="623EE4BA" w14:textId="77777777" w:rsidR="005606EE" w:rsidRDefault="005606EE"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001BD"/>
    <w:multiLevelType w:val="hybridMultilevel"/>
    <w:tmpl w:val="DE8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E11DF"/>
    <w:multiLevelType w:val="hybridMultilevel"/>
    <w:tmpl w:val="84785A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00D14"/>
    <w:multiLevelType w:val="hybridMultilevel"/>
    <w:tmpl w:val="DF1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F4781B"/>
    <w:multiLevelType w:val="hybridMultilevel"/>
    <w:tmpl w:val="5826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30"/>
  </w:num>
  <w:num w:numId="5">
    <w:abstractNumId w:val="2"/>
  </w:num>
  <w:num w:numId="6">
    <w:abstractNumId w:val="12"/>
  </w:num>
  <w:num w:numId="7">
    <w:abstractNumId w:val="6"/>
  </w:num>
  <w:num w:numId="8">
    <w:abstractNumId w:val="29"/>
  </w:num>
  <w:num w:numId="9">
    <w:abstractNumId w:val="27"/>
  </w:num>
  <w:num w:numId="10">
    <w:abstractNumId w:val="24"/>
  </w:num>
  <w:num w:numId="11">
    <w:abstractNumId w:val="1"/>
  </w:num>
  <w:num w:numId="12">
    <w:abstractNumId w:val="28"/>
  </w:num>
  <w:num w:numId="13">
    <w:abstractNumId w:val="10"/>
  </w:num>
  <w:num w:numId="14">
    <w:abstractNumId w:val="18"/>
  </w:num>
  <w:num w:numId="15">
    <w:abstractNumId w:val="7"/>
  </w:num>
  <w:num w:numId="16">
    <w:abstractNumId w:val="22"/>
  </w:num>
  <w:num w:numId="17">
    <w:abstractNumId w:val="0"/>
  </w:num>
  <w:num w:numId="18">
    <w:abstractNumId w:val="5"/>
  </w:num>
  <w:num w:numId="19">
    <w:abstractNumId w:val="23"/>
  </w:num>
  <w:num w:numId="20">
    <w:abstractNumId w:val="31"/>
  </w:num>
  <w:num w:numId="21">
    <w:abstractNumId w:val="20"/>
  </w:num>
  <w:num w:numId="22">
    <w:abstractNumId w:val="14"/>
  </w:num>
  <w:num w:numId="23">
    <w:abstractNumId w:val="21"/>
  </w:num>
  <w:num w:numId="24">
    <w:abstractNumId w:val="25"/>
  </w:num>
  <w:num w:numId="25">
    <w:abstractNumId w:val="4"/>
  </w:num>
  <w:num w:numId="26">
    <w:abstractNumId w:val="19"/>
  </w:num>
  <w:num w:numId="27">
    <w:abstractNumId w:val="11"/>
  </w:num>
  <w:num w:numId="28">
    <w:abstractNumId w:val="9"/>
  </w:num>
  <w:num w:numId="29">
    <w:abstractNumId w:val="26"/>
  </w:num>
  <w:num w:numId="30">
    <w:abstractNumId w:val="32"/>
  </w:num>
  <w:num w:numId="31">
    <w:abstractNumId w:val="17"/>
  </w:num>
  <w:num w:numId="32">
    <w:abstractNumId w:val="15"/>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7783B"/>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3D7"/>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28C"/>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06EE"/>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1F61"/>
    <w:rsid w:val="00A44330"/>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6996"/>
    <w:rsid w:val="00D26DF8"/>
    <w:rsid w:val="00D31181"/>
    <w:rsid w:val="00D318CC"/>
    <w:rsid w:val="00D31D9E"/>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0BAF"/>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 w:type="paragraph" w:styleId="Revision">
    <w:name w:val="Revision"/>
    <w:hidden/>
    <w:uiPriority w:val="99"/>
    <w:semiHidden/>
    <w:rsid w:val="00E40B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gov/GenomeEd" TargetMode="External"/><Relationship Id="rId13" Type="http://schemas.openxmlformats.org/officeDocument/2006/relationships/hyperlink" Target="https://clinicalgen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ary.Gee@canc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htcancer.org/biomark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mpey@pitt.edu" TargetMode="External"/><Relationship Id="rId4" Type="http://schemas.openxmlformats.org/officeDocument/2006/relationships/settings" Target="settings.xml"/><Relationship Id="rId9" Type="http://schemas.openxmlformats.org/officeDocument/2006/relationships/hyperlink" Target="https://www.genome.gov/careers-training/Professional-Development-Programs/ISCC-PEG-Scholars-Program" TargetMode="External"/><Relationship Id="rId14" Type="http://schemas.openxmlformats.org/officeDocument/2006/relationships/hyperlink" Target="https://clinicalgenome.org/about/clingen-cpic-pharmg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2022-10-12T17:24:00Z</dcterms:created>
  <dcterms:modified xsi:type="dcterms:W3CDTF">2022-10-12T17:24:00Z</dcterms:modified>
</cp:coreProperties>
</file>