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614B" w14:textId="0E0E29BA" w:rsidR="006337ED" w:rsidRDefault="006337ED" w:rsidP="001E7AF8">
      <w:pPr>
        <w:jc w:val="both"/>
      </w:pPr>
      <w:r>
        <w:t>This update to the Clinical Pharmacogenetics Implementation Consortium (CPIC) g</w:t>
      </w:r>
      <w:r w:rsidRPr="006337ED">
        <w:t xml:space="preserve">uideline for the </w:t>
      </w:r>
      <w:r>
        <w:t>u</w:t>
      </w:r>
      <w:r w:rsidRPr="006337ED">
        <w:t xml:space="preserve">se of </w:t>
      </w:r>
      <w:r>
        <w:t>a</w:t>
      </w:r>
      <w:r w:rsidRPr="006337ED">
        <w:t xml:space="preserve">minoglycosides </w:t>
      </w:r>
      <w:r w:rsidR="00A163F4">
        <w:t>in individuals with the</w:t>
      </w:r>
      <w:r w:rsidRPr="006337ED">
        <w:t xml:space="preserve"> </w:t>
      </w:r>
      <w:r w:rsidRPr="006337ED">
        <w:rPr>
          <w:i/>
          <w:iCs/>
        </w:rPr>
        <w:t>MT-RNR1</w:t>
      </w:r>
      <w:r w:rsidRPr="006337ED">
        <w:t xml:space="preserve"> </w:t>
      </w:r>
      <w:r w:rsidR="006008EF">
        <w:t>g</w:t>
      </w:r>
      <w:r w:rsidR="006008EF" w:rsidRPr="006337ED">
        <w:t>enotype</w:t>
      </w:r>
      <w:r w:rsidR="006008EF">
        <w:t xml:space="preserve"> </w:t>
      </w:r>
      <w:r>
        <w:t xml:space="preserve">was precipitated following contact from primary care physicians and </w:t>
      </w:r>
      <w:proofErr w:type="spellStart"/>
      <w:r>
        <w:t>pediatricians</w:t>
      </w:r>
      <w:proofErr w:type="spellEnd"/>
      <w:r>
        <w:t>. These clinicians had asked whether patients with the m.1555A&gt;G variant should avoid vaccines where aminoglycoside</w:t>
      </w:r>
      <w:r w:rsidR="00874735">
        <w:t>s</w:t>
      </w:r>
      <w:r>
        <w:t xml:space="preserve"> are used in the manufacture process. This update will be </w:t>
      </w:r>
      <w:r w:rsidR="00874735">
        <w:t>accompanied</w:t>
      </w:r>
      <w:r>
        <w:t xml:space="preserve"> by a peer-reviewed commentary, the link for which will be posted here once available.  </w:t>
      </w:r>
    </w:p>
    <w:p w14:paraId="4051EF6B" w14:textId="2DDC288E" w:rsidR="001E7AF8" w:rsidRDefault="002F11B0" w:rsidP="001E7AF8">
      <w:pPr>
        <w:jc w:val="both"/>
      </w:pPr>
      <w:r>
        <w:t>Aminoglycoside antibiotics</w:t>
      </w:r>
      <w:r w:rsidR="001E7AF8">
        <w:t xml:space="preserve"> are commonly used during the manufacture of vaccines to prevent bacterial contamination. Many of these agents are removed during the purification process, but some can remain as trace excipients. In January 2023, the CPIC </w:t>
      </w:r>
      <w:r w:rsidR="001E7AF8" w:rsidRPr="001E7AF8">
        <w:rPr>
          <w:i/>
          <w:iCs/>
        </w:rPr>
        <w:t>MT-RNR1</w:t>
      </w:r>
      <w:r w:rsidR="001E7AF8">
        <w:t xml:space="preserve"> </w:t>
      </w:r>
      <w:r w:rsidR="001E7AF8" w:rsidRPr="001E7AF8">
        <w:t>guideline</w:t>
      </w:r>
      <w:r w:rsidR="001E7AF8">
        <w:t xml:space="preserve"> writing group met to clarify how these guidelines might interact with the decision to provide routine vaccinations. </w:t>
      </w:r>
    </w:p>
    <w:p w14:paraId="1CA1BAAA" w14:textId="21C0559B" w:rsidR="007C7042" w:rsidRDefault="001E7AF8" w:rsidP="007C7042">
      <w:pPr>
        <w:jc w:val="both"/>
      </w:pPr>
      <w:r>
        <w:t>Th</w:t>
      </w:r>
      <w:r w:rsidR="006248DF">
        <w:t>is</w:t>
      </w:r>
      <w:r w:rsidR="008C1D0C" w:rsidRPr="008C1D0C">
        <w:t xml:space="preserve"> writing </w:t>
      </w:r>
      <w:r>
        <w:t>group agree</w:t>
      </w:r>
      <w:r w:rsidR="00D67B3B">
        <w:t>d</w:t>
      </w:r>
      <w:r>
        <w:t xml:space="preserve"> that </w:t>
      </w:r>
      <w:r w:rsidR="007C7042">
        <w:t xml:space="preserve">individuals with </w:t>
      </w:r>
      <w:r w:rsidR="007C7042" w:rsidRPr="007C7042">
        <w:rPr>
          <w:i/>
          <w:iCs/>
        </w:rPr>
        <w:t>MT-RNR1</w:t>
      </w:r>
      <w:r w:rsidR="007C7042">
        <w:t xml:space="preserve"> variants associated with an increased risk of aminoglycoside-induced hearing</w:t>
      </w:r>
      <w:r w:rsidR="002F11B0">
        <w:t xml:space="preserve"> loss (AIHL)</w:t>
      </w:r>
      <w:r w:rsidR="007C7042">
        <w:t xml:space="preserve"> should receive their vaccine schedule as </w:t>
      </w:r>
      <w:r w:rsidR="002F11B0">
        <w:t>normal</w:t>
      </w:r>
      <w:r w:rsidR="007C7042">
        <w:t xml:space="preserve">. The rationale for this decision </w:t>
      </w:r>
      <w:r w:rsidR="002F11B0">
        <w:t>is</w:t>
      </w:r>
      <w:r w:rsidR="007C7042">
        <w:t xml:space="preserve"> threefold: </w:t>
      </w:r>
    </w:p>
    <w:p w14:paraId="048F6759" w14:textId="734E2EC5" w:rsidR="007C7042" w:rsidRDefault="00B54EA3" w:rsidP="002F11B0">
      <w:pPr>
        <w:pStyle w:val="ListParagraph"/>
        <w:numPr>
          <w:ilvl w:val="0"/>
          <w:numId w:val="1"/>
        </w:numPr>
        <w:jc w:val="both"/>
      </w:pPr>
      <w:r>
        <w:t>T</w:t>
      </w:r>
      <w:r w:rsidR="007C7042">
        <w:t xml:space="preserve">he antibiotic content in vaccines is extremely low and </w:t>
      </w:r>
      <w:r w:rsidR="002F11B0">
        <w:t xml:space="preserve">well below </w:t>
      </w:r>
      <w:r w:rsidR="00FB55A6">
        <w:t xml:space="preserve">the </w:t>
      </w:r>
      <w:r w:rsidR="002F11B0">
        <w:t>therapeutic doses associated with AIHL.</w:t>
      </w:r>
      <w:r w:rsidR="00C24226">
        <w:rPr>
          <w:vertAlign w:val="superscript"/>
        </w:rPr>
        <w:t>1</w:t>
      </w:r>
      <w:r w:rsidR="00486785">
        <w:rPr>
          <w:vertAlign w:val="superscript"/>
        </w:rPr>
        <w:t>-3</w:t>
      </w:r>
      <w:r w:rsidR="00C1371C">
        <w:t xml:space="preserve"> For example, an influenza</w:t>
      </w:r>
      <w:r w:rsidR="00C1371C" w:rsidRPr="00C1371C">
        <w:t xml:space="preserve"> </w:t>
      </w:r>
      <w:r w:rsidR="00C1371C">
        <w:t xml:space="preserve">vaccine contains no more than </w:t>
      </w:r>
      <w:r w:rsidR="00C1371C" w:rsidRPr="00C1371C">
        <w:t>0.00015mg</w:t>
      </w:r>
      <w:r w:rsidR="00C1371C">
        <w:t xml:space="preserve"> per dose</w:t>
      </w:r>
      <w:r w:rsidR="009C52C7">
        <w:t xml:space="preserve">. </w:t>
      </w:r>
      <w:r w:rsidR="00C24226">
        <w:t>Although prescribing regimens vary depending on the clinical context and local guidance,</w:t>
      </w:r>
      <w:r w:rsidR="009C52C7">
        <w:t xml:space="preserve"> a</w:t>
      </w:r>
      <w:r w:rsidR="00C1371C">
        <w:t xml:space="preserve"> </w:t>
      </w:r>
      <w:r w:rsidR="00C24226">
        <w:t>typical</w:t>
      </w:r>
      <w:r w:rsidR="00C1371C">
        <w:t xml:space="preserve"> dose of gentamicin in neonatal sepsis is 5mg/kg</w:t>
      </w:r>
      <w:r w:rsidR="009C52C7">
        <w:t xml:space="preserve"> every </w:t>
      </w:r>
      <w:r w:rsidR="00C24226">
        <w:t>24-</w:t>
      </w:r>
      <w:r w:rsidR="009C52C7">
        <w:t>36 hours</w:t>
      </w:r>
      <w:r w:rsidR="00C1371C">
        <w:t>.</w:t>
      </w:r>
      <w:r w:rsidR="00486785">
        <w:rPr>
          <w:rFonts w:ascii="Calibri" w:hAnsi="Calibri" w:cs="Calibri"/>
          <w:szCs w:val="24"/>
          <w:vertAlign w:val="superscript"/>
        </w:rPr>
        <w:t>4</w:t>
      </w:r>
      <w:r w:rsidR="0059328E">
        <w:rPr>
          <w:rFonts w:ascii="Calibri" w:hAnsi="Calibri" w:cs="Calibri"/>
          <w:szCs w:val="24"/>
          <w:vertAlign w:val="superscript"/>
        </w:rPr>
        <w:t>-</w:t>
      </w:r>
      <w:r w:rsidR="00486785">
        <w:rPr>
          <w:rFonts w:ascii="Calibri" w:hAnsi="Calibri" w:cs="Calibri"/>
          <w:szCs w:val="24"/>
          <w:vertAlign w:val="superscript"/>
        </w:rPr>
        <w:t>7</w:t>
      </w:r>
      <w:r w:rsidR="00C1371C">
        <w:t xml:space="preserve"> </w:t>
      </w:r>
      <w:r w:rsidR="00302F77">
        <w:t>Therefore, a</w:t>
      </w:r>
      <w:r w:rsidR="00C1371C">
        <w:t xml:space="preserve"> 3kg newborn </w:t>
      </w:r>
      <w:r w:rsidR="009C52C7">
        <w:t>might</w:t>
      </w:r>
      <w:r w:rsidR="00C1371C">
        <w:t xml:space="preserve"> receive</w:t>
      </w:r>
      <w:r w:rsidR="00C24226">
        <w:t xml:space="preserve"> a</w:t>
      </w:r>
      <w:r w:rsidR="00C1371C">
        <w:t xml:space="preserve"> 15mg</w:t>
      </w:r>
      <w:r w:rsidR="00C24226">
        <w:t xml:space="preserve"> daily dose</w:t>
      </w:r>
      <w:r w:rsidR="00C1371C">
        <w:t xml:space="preserve"> of gentamicin intravenously; a 100,000</w:t>
      </w:r>
      <w:r w:rsidR="00874735">
        <w:t xml:space="preserve"> order of magnitude </w:t>
      </w:r>
      <w:r w:rsidR="00C1371C">
        <w:t>greater quantity than found in the vaccine.</w:t>
      </w:r>
      <w:r w:rsidR="002F11B0">
        <w:t xml:space="preserve"> As such, </w:t>
      </w:r>
      <w:r w:rsidR="002F11B0" w:rsidRPr="002F11B0">
        <w:t xml:space="preserve">the possibility that </w:t>
      </w:r>
      <w:r w:rsidR="002F11B0">
        <w:t>such small</w:t>
      </w:r>
      <w:r w:rsidR="002F11B0" w:rsidRPr="002F11B0">
        <w:t xml:space="preserve"> quantities of </w:t>
      </w:r>
      <w:r w:rsidR="002F11B0">
        <w:t>aminoglycosides</w:t>
      </w:r>
      <w:r w:rsidR="002F11B0" w:rsidRPr="002F11B0">
        <w:t xml:space="preserve"> contained in vaccines </w:t>
      </w:r>
      <w:r w:rsidR="002F11B0">
        <w:t xml:space="preserve">could </w:t>
      </w:r>
      <w:r w:rsidR="002F11B0" w:rsidRPr="002F11B0">
        <w:t xml:space="preserve">cause </w:t>
      </w:r>
      <w:r w:rsidR="002F11B0">
        <w:t xml:space="preserve">AIHL is extremely low and, </w:t>
      </w:r>
      <w:r w:rsidR="002F11B0" w:rsidRPr="002F11B0">
        <w:t>at best, theoretical.</w:t>
      </w:r>
    </w:p>
    <w:p w14:paraId="0AFB044B" w14:textId="34B2EFFA" w:rsidR="00B54EA3" w:rsidRDefault="00B54EA3" w:rsidP="002F11B0">
      <w:pPr>
        <w:pStyle w:val="ListParagraph"/>
        <w:numPr>
          <w:ilvl w:val="0"/>
          <w:numId w:val="1"/>
        </w:numPr>
        <w:jc w:val="both"/>
      </w:pPr>
      <w:r>
        <w:t>T</w:t>
      </w:r>
      <w:r w:rsidR="002F11B0">
        <w:t xml:space="preserve">he CPIC guidelines for the use of aminoglycosides </w:t>
      </w:r>
      <w:r w:rsidR="000B725A">
        <w:t>for individuals with the</w:t>
      </w:r>
      <w:r w:rsidR="002F11B0">
        <w:t xml:space="preserve"> </w:t>
      </w:r>
      <w:r w:rsidR="002F11B0" w:rsidRPr="009C52C7">
        <w:rPr>
          <w:i/>
          <w:iCs/>
        </w:rPr>
        <w:t>MT-RNR1</w:t>
      </w:r>
      <w:r w:rsidR="002F11B0">
        <w:t xml:space="preserve"> genotype state that</w:t>
      </w:r>
      <w:r>
        <w:t>, in individuals with risk</w:t>
      </w:r>
      <w:r w:rsidR="00CD1E81">
        <w:t>-</w:t>
      </w:r>
      <w:r>
        <w:t xml:space="preserve">conferring </w:t>
      </w:r>
      <w:r w:rsidRPr="00B54EA3">
        <w:rPr>
          <w:i/>
          <w:iCs/>
        </w:rPr>
        <w:t>MT-RNR1</w:t>
      </w:r>
      <w:r>
        <w:t xml:space="preserve"> variants,</w:t>
      </w:r>
      <w:r w:rsidR="002F11B0">
        <w:t xml:space="preserve"> aminoglycoside antibiotics should</w:t>
      </w:r>
      <w:r>
        <w:t xml:space="preserve"> be avoided unless</w:t>
      </w:r>
      <w:r w:rsidR="002F11B0">
        <w:t xml:space="preserve"> the risk of AIHL is outweighed by the risk of not providing that antibiotic therapy, </w:t>
      </w:r>
      <w:r w:rsidR="002F11B0" w:rsidRPr="002F11B0">
        <w:t>without safe or effective alternative therapies</w:t>
      </w:r>
      <w:r w:rsidR="002F11B0">
        <w:t>.</w:t>
      </w:r>
      <w:r>
        <w:t xml:space="preserve"> In this clinical scenario, the guideline writing group agree that the extremely low theoretical risk of AIHL from vaccines is </w:t>
      </w:r>
      <w:r w:rsidR="00C24226">
        <w:t>greatly</w:t>
      </w:r>
      <w:r>
        <w:t xml:space="preserve"> outweighed by the benefits of vaccination. </w:t>
      </w:r>
    </w:p>
    <w:p w14:paraId="7B78F939" w14:textId="44F6B8E4" w:rsidR="002F11B0" w:rsidRDefault="00B54EA3" w:rsidP="002F11B0">
      <w:pPr>
        <w:pStyle w:val="ListParagraph"/>
        <w:numPr>
          <w:ilvl w:val="0"/>
          <w:numId w:val="1"/>
        </w:numPr>
        <w:jc w:val="both"/>
      </w:pPr>
      <w:r>
        <w:t>The frequency of the most common risk</w:t>
      </w:r>
      <w:r w:rsidR="00582410">
        <w:t>-</w:t>
      </w:r>
      <w:r>
        <w:t xml:space="preserve">conferring </w:t>
      </w:r>
      <w:r w:rsidRPr="00B54EA3">
        <w:rPr>
          <w:i/>
          <w:iCs/>
        </w:rPr>
        <w:t>MT-RNR1</w:t>
      </w:r>
      <w:r>
        <w:rPr>
          <w:i/>
          <w:iCs/>
        </w:rPr>
        <w:t xml:space="preserve"> </w:t>
      </w:r>
      <w:r>
        <w:t>variant, m.1555A&gt;G, is sufficiently hig</w:t>
      </w:r>
      <w:r w:rsidR="00302F77">
        <w:t>h</w:t>
      </w:r>
      <w:r>
        <w:t xml:space="preserve"> that is reasonably likely that if there was a signal to be observed</w:t>
      </w:r>
      <w:r w:rsidR="00302F77">
        <w:t xml:space="preserve">, </w:t>
      </w:r>
      <w:r>
        <w:t>this would have been identified given the almost ubiquitous nature of this intervention</w:t>
      </w:r>
      <w:r w:rsidR="00302F77">
        <w:t>.</w:t>
      </w:r>
    </w:p>
    <w:p w14:paraId="05AF7BAD" w14:textId="34C93621" w:rsidR="00B54EA3" w:rsidRDefault="00B54EA3" w:rsidP="00B54EA3">
      <w:pPr>
        <w:jc w:val="both"/>
      </w:pPr>
      <w:r>
        <w:t xml:space="preserve">In conclusion, the CPIC </w:t>
      </w:r>
      <w:r w:rsidRPr="00B54EA3">
        <w:rPr>
          <w:i/>
          <w:iCs/>
        </w:rPr>
        <w:t>MT-RNR1</w:t>
      </w:r>
      <w:r>
        <w:rPr>
          <w:i/>
          <w:iCs/>
        </w:rPr>
        <w:t xml:space="preserve"> </w:t>
      </w:r>
      <w:r w:rsidR="00074233" w:rsidRPr="009C52C7">
        <w:t>writing</w:t>
      </w:r>
      <w:r w:rsidR="00074233" w:rsidRPr="00074233">
        <w:rPr>
          <w:i/>
          <w:iCs/>
        </w:rPr>
        <w:t xml:space="preserve"> </w:t>
      </w:r>
      <w:r>
        <w:t xml:space="preserve">group agree that presence of </w:t>
      </w:r>
      <w:r w:rsidRPr="007C7042">
        <w:rPr>
          <w:i/>
          <w:iCs/>
        </w:rPr>
        <w:t>MT-RNR1</w:t>
      </w:r>
      <w:r>
        <w:t xml:space="preserve"> variants associated with an increased risk of AIHL should not impact routine vaccination schedules. </w:t>
      </w:r>
    </w:p>
    <w:p w14:paraId="3A7FBABB" w14:textId="273CC9BE" w:rsidR="00874735" w:rsidRPr="00874735" w:rsidRDefault="00874735" w:rsidP="00B54EA3">
      <w:pPr>
        <w:jc w:val="both"/>
        <w:rPr>
          <w:b/>
          <w:bCs/>
          <w:u w:val="single"/>
        </w:rPr>
      </w:pPr>
      <w:r w:rsidRPr="00874735">
        <w:rPr>
          <w:b/>
          <w:bCs/>
          <w:u w:val="single"/>
        </w:rPr>
        <w:t>References</w:t>
      </w:r>
    </w:p>
    <w:p w14:paraId="78E5CD96" w14:textId="25F3CAAF" w:rsidR="0059328E" w:rsidRDefault="0059328E" w:rsidP="0059328E">
      <w:pPr>
        <w:pStyle w:val="Bibliography"/>
        <w:numPr>
          <w:ilvl w:val="0"/>
          <w:numId w:val="2"/>
        </w:numPr>
        <w:spacing w:after="0"/>
        <w:ind w:left="714" w:hanging="357"/>
        <w:rPr>
          <w:rFonts w:ascii="Calibri" w:hAnsi="Calibri" w:cs="Calibri"/>
        </w:rPr>
      </w:pPr>
      <w:r w:rsidRPr="0059328E">
        <w:rPr>
          <w:rFonts w:ascii="Calibri" w:hAnsi="Calibri" w:cs="Calibri"/>
        </w:rPr>
        <w:t>Hayward RS, Harding J, Molloy R, et al. Adverse effects of a single dose of gentamicin in adults: a systematic review. British Journal of Clinical Pharmacology 2018;84(2):223–38.</w:t>
      </w:r>
    </w:p>
    <w:p w14:paraId="14B3525A" w14:textId="6C4880A3" w:rsidR="0059328E" w:rsidRDefault="0059328E" w:rsidP="0059328E">
      <w:pPr>
        <w:pStyle w:val="ListParagraph"/>
        <w:numPr>
          <w:ilvl w:val="0"/>
          <w:numId w:val="2"/>
        </w:numPr>
        <w:spacing w:after="0" w:line="240" w:lineRule="auto"/>
      </w:pPr>
      <w:proofErr w:type="spellStart"/>
      <w:r w:rsidRPr="0059328E">
        <w:t>Fjalstad</w:t>
      </w:r>
      <w:proofErr w:type="spellEnd"/>
      <w:r w:rsidRPr="0059328E">
        <w:t xml:space="preserve"> JW, </w:t>
      </w:r>
      <w:proofErr w:type="spellStart"/>
      <w:r w:rsidRPr="0059328E">
        <w:t>Laukli</w:t>
      </w:r>
      <w:proofErr w:type="spellEnd"/>
      <w:r w:rsidRPr="0059328E">
        <w:t xml:space="preserve"> E, van den Anker JN, Klingenberg C. High-dose gentamicin in newborn infants: is it safe? </w:t>
      </w:r>
      <w:proofErr w:type="spellStart"/>
      <w:r w:rsidRPr="0059328E">
        <w:t>Eur</w:t>
      </w:r>
      <w:proofErr w:type="spellEnd"/>
      <w:r w:rsidRPr="0059328E">
        <w:t xml:space="preserve"> J </w:t>
      </w:r>
      <w:proofErr w:type="spellStart"/>
      <w:r w:rsidRPr="0059328E">
        <w:t>Pediatr</w:t>
      </w:r>
      <w:proofErr w:type="spellEnd"/>
      <w:r w:rsidRPr="0059328E">
        <w:t xml:space="preserve"> </w:t>
      </w:r>
      <w:proofErr w:type="gramStart"/>
      <w:r w:rsidRPr="0059328E">
        <w:t>2013;</w:t>
      </w:r>
      <w:proofErr w:type="gramEnd"/>
    </w:p>
    <w:p w14:paraId="347BD67D" w14:textId="0DE05B32" w:rsidR="00486785" w:rsidRPr="0059328E" w:rsidRDefault="00486785" w:rsidP="0059328E">
      <w:pPr>
        <w:pStyle w:val="ListParagraph"/>
        <w:numPr>
          <w:ilvl w:val="0"/>
          <w:numId w:val="2"/>
        </w:numPr>
        <w:spacing w:after="0" w:line="240" w:lineRule="auto"/>
      </w:pPr>
      <w:proofErr w:type="spellStart"/>
      <w:r w:rsidRPr="00486785">
        <w:rPr>
          <w:rFonts w:ascii="Calibri" w:hAnsi="Calibri" w:cs="Calibri"/>
        </w:rPr>
        <w:t>Puia-Dumitrescu</w:t>
      </w:r>
      <w:proofErr w:type="spellEnd"/>
      <w:r w:rsidRPr="00486785">
        <w:rPr>
          <w:rFonts w:ascii="Calibri" w:hAnsi="Calibri" w:cs="Calibri"/>
        </w:rPr>
        <w:t xml:space="preserve"> M, </w:t>
      </w:r>
      <w:proofErr w:type="spellStart"/>
      <w:r w:rsidRPr="00486785">
        <w:rPr>
          <w:rFonts w:ascii="Calibri" w:hAnsi="Calibri" w:cs="Calibri"/>
        </w:rPr>
        <w:t>Bretzius</w:t>
      </w:r>
      <w:proofErr w:type="spellEnd"/>
      <w:r w:rsidRPr="00486785">
        <w:rPr>
          <w:rFonts w:ascii="Calibri" w:hAnsi="Calibri" w:cs="Calibri"/>
        </w:rPr>
        <w:t xml:space="preserve"> OM, Brown N, et al. Evaluation of Gentamicin Exposure in the Neonatal Intensive Care Unit and Hearing Function at Discharge. J </w:t>
      </w:r>
      <w:proofErr w:type="spellStart"/>
      <w:r w:rsidRPr="00486785">
        <w:rPr>
          <w:rFonts w:ascii="Calibri" w:hAnsi="Calibri" w:cs="Calibri"/>
        </w:rPr>
        <w:t>Pediatr</w:t>
      </w:r>
      <w:proofErr w:type="spellEnd"/>
      <w:r w:rsidRPr="00486785">
        <w:rPr>
          <w:rFonts w:ascii="Calibri" w:hAnsi="Calibri" w:cs="Calibri"/>
        </w:rPr>
        <w:t xml:space="preserve"> 2018;203:131–6.</w:t>
      </w:r>
    </w:p>
    <w:p w14:paraId="15F6B29A" w14:textId="6CAE61AB" w:rsidR="00C24226" w:rsidRPr="0059328E" w:rsidRDefault="00C24226" w:rsidP="0059328E">
      <w:pPr>
        <w:pStyle w:val="Bibliography"/>
        <w:numPr>
          <w:ilvl w:val="0"/>
          <w:numId w:val="2"/>
        </w:numPr>
        <w:spacing w:after="0"/>
        <w:ind w:left="714" w:hanging="357"/>
        <w:rPr>
          <w:rFonts w:ascii="Calibri" w:hAnsi="Calibri" w:cs="Calibri"/>
        </w:rPr>
      </w:pPr>
      <w:r>
        <w:t xml:space="preserve">Cross CP, Liao S, Urdang ZD, Srikanth P, </w:t>
      </w:r>
      <w:proofErr w:type="spellStart"/>
      <w:r>
        <w:t>Garinis</w:t>
      </w:r>
      <w:proofErr w:type="spellEnd"/>
      <w:r>
        <w:t xml:space="preserve"> AC, Steyger PS. Effect of Sepsis and Systemic Inflammatory Response Syndrome on Neonatal Hearing Screening Outcomes following Gentamicin Exposure. Int J </w:t>
      </w:r>
      <w:proofErr w:type="spellStart"/>
      <w:r>
        <w:t>Pediatr</w:t>
      </w:r>
      <w:proofErr w:type="spellEnd"/>
      <w:r>
        <w:t xml:space="preserve"> </w:t>
      </w:r>
      <w:proofErr w:type="spellStart"/>
      <w:r>
        <w:t>Otorhinolaryngol</w:t>
      </w:r>
      <w:proofErr w:type="spellEnd"/>
      <w:r>
        <w:t xml:space="preserve"> 2015;79(11):1915–9. </w:t>
      </w:r>
    </w:p>
    <w:p w14:paraId="2BA4935A" w14:textId="554C8CCE" w:rsidR="00C24226" w:rsidRDefault="00C24226" w:rsidP="0059328E">
      <w:pPr>
        <w:pStyle w:val="ListParagraph"/>
        <w:numPr>
          <w:ilvl w:val="0"/>
          <w:numId w:val="2"/>
        </w:numPr>
        <w:spacing w:after="0" w:line="240" w:lineRule="auto"/>
        <w:ind w:left="714" w:hanging="357"/>
        <w:jc w:val="both"/>
      </w:pPr>
      <w:proofErr w:type="spellStart"/>
      <w:r>
        <w:t>Garinis</w:t>
      </w:r>
      <w:proofErr w:type="spellEnd"/>
      <w:r>
        <w:t xml:space="preserve"> AC, Liao S, Cross CP, et al. Effect of gentamicin and levels of ambient sound on hearing screening outcomes in the neonatal intensive care unit: A pilot study. Int J </w:t>
      </w:r>
      <w:proofErr w:type="spellStart"/>
      <w:r>
        <w:t>Pediatr</w:t>
      </w:r>
      <w:proofErr w:type="spellEnd"/>
      <w:r>
        <w:t xml:space="preserve"> </w:t>
      </w:r>
      <w:proofErr w:type="spellStart"/>
      <w:r>
        <w:t>Otorhinolaryngol</w:t>
      </w:r>
      <w:proofErr w:type="spellEnd"/>
      <w:r>
        <w:t xml:space="preserve"> 2017;97:42–50. </w:t>
      </w:r>
    </w:p>
    <w:p w14:paraId="4CF5200D" w14:textId="414FC0CF" w:rsidR="00874735" w:rsidRDefault="00874735" w:rsidP="0059328E">
      <w:pPr>
        <w:pStyle w:val="ListParagraph"/>
        <w:numPr>
          <w:ilvl w:val="0"/>
          <w:numId w:val="2"/>
        </w:numPr>
        <w:spacing w:after="0" w:line="240" w:lineRule="auto"/>
        <w:ind w:left="714" w:hanging="357"/>
        <w:jc w:val="both"/>
      </w:pPr>
      <w:r>
        <w:lastRenderedPageBreak/>
        <w:t xml:space="preserve">Children’s Hospital of Philadelphia. Vaccine Ingredients - Antibiotics [Internet]. 2014 [cited 2023 Feb 23];Available from: </w:t>
      </w:r>
      <w:hyperlink r:id="rId8" w:history="1">
        <w:r w:rsidRPr="00614283">
          <w:rPr>
            <w:rStyle w:val="Hyperlink"/>
          </w:rPr>
          <w:t>https://www.chop.edu/centers-programs/vaccine-education-center/vaccine-ingredients/antibiotics</w:t>
        </w:r>
      </w:hyperlink>
    </w:p>
    <w:p w14:paraId="08BEA15E" w14:textId="413F34A7" w:rsidR="00874735" w:rsidRDefault="00874735" w:rsidP="0059328E">
      <w:pPr>
        <w:pStyle w:val="ListParagraph"/>
        <w:numPr>
          <w:ilvl w:val="0"/>
          <w:numId w:val="2"/>
        </w:numPr>
        <w:spacing w:after="0" w:line="240" w:lineRule="auto"/>
        <w:ind w:left="714" w:hanging="357"/>
        <w:jc w:val="both"/>
      </w:pPr>
      <w:r>
        <w:t>National Institute for Health and Care Excellence. CG149. Neonatal infection (early onset): antibiotics for prevention and treatment. 2012</w:t>
      </w:r>
      <w:r w:rsidR="00C24226">
        <w:t>.</w:t>
      </w:r>
      <w:r w:rsidR="00C24226" w:rsidRPr="00B54EA3">
        <w:t xml:space="preserve"> </w:t>
      </w:r>
    </w:p>
    <w:p w14:paraId="34897A0A" w14:textId="4138B5AD" w:rsidR="00486785" w:rsidRPr="00B54EA3" w:rsidRDefault="00486785" w:rsidP="0059328E">
      <w:pPr>
        <w:jc w:val="both"/>
      </w:pPr>
    </w:p>
    <w:sectPr w:rsidR="00486785" w:rsidRPr="00B54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6C33"/>
    <w:multiLevelType w:val="hybridMultilevel"/>
    <w:tmpl w:val="3EC0C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554A39"/>
    <w:multiLevelType w:val="hybridMultilevel"/>
    <w:tmpl w:val="41E42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3366419">
    <w:abstractNumId w:val="0"/>
  </w:num>
  <w:num w:numId="2" w16cid:durableId="388654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AF8"/>
    <w:rsid w:val="00074233"/>
    <w:rsid w:val="0009446F"/>
    <w:rsid w:val="000B725A"/>
    <w:rsid w:val="000E4410"/>
    <w:rsid w:val="001172B0"/>
    <w:rsid w:val="001E7AF8"/>
    <w:rsid w:val="00273EF0"/>
    <w:rsid w:val="002E5234"/>
    <w:rsid w:val="002F11B0"/>
    <w:rsid w:val="00302F77"/>
    <w:rsid w:val="003A6EB2"/>
    <w:rsid w:val="00411653"/>
    <w:rsid w:val="00486785"/>
    <w:rsid w:val="00582410"/>
    <w:rsid w:val="0059328E"/>
    <w:rsid w:val="005A45C7"/>
    <w:rsid w:val="005C4349"/>
    <w:rsid w:val="006008EF"/>
    <w:rsid w:val="006248DF"/>
    <w:rsid w:val="006337ED"/>
    <w:rsid w:val="007C2A2B"/>
    <w:rsid w:val="007C7042"/>
    <w:rsid w:val="00874735"/>
    <w:rsid w:val="008C1D0C"/>
    <w:rsid w:val="008C4B02"/>
    <w:rsid w:val="00987711"/>
    <w:rsid w:val="009C52C7"/>
    <w:rsid w:val="00A04B69"/>
    <w:rsid w:val="00A163F4"/>
    <w:rsid w:val="00A7436B"/>
    <w:rsid w:val="00B54EA3"/>
    <w:rsid w:val="00C06DD5"/>
    <w:rsid w:val="00C1371C"/>
    <w:rsid w:val="00C24226"/>
    <w:rsid w:val="00C326A1"/>
    <w:rsid w:val="00C700D6"/>
    <w:rsid w:val="00CD1E81"/>
    <w:rsid w:val="00D646FE"/>
    <w:rsid w:val="00D67B3B"/>
    <w:rsid w:val="00DD3629"/>
    <w:rsid w:val="00E10ECC"/>
    <w:rsid w:val="00EC1C1B"/>
    <w:rsid w:val="00FB55A6"/>
    <w:rsid w:val="00FB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485A"/>
  <w15:chartTrackingRefBased/>
  <w15:docId w15:val="{00B4D1EE-4582-466D-B363-828F1414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1B0"/>
    <w:pPr>
      <w:ind w:left="720"/>
      <w:contextualSpacing/>
    </w:pPr>
  </w:style>
  <w:style w:type="character" w:styleId="CommentReference">
    <w:name w:val="annotation reference"/>
    <w:basedOn w:val="DefaultParagraphFont"/>
    <w:uiPriority w:val="99"/>
    <w:semiHidden/>
    <w:unhideWhenUsed/>
    <w:rsid w:val="006008EF"/>
    <w:rPr>
      <w:sz w:val="16"/>
      <w:szCs w:val="16"/>
    </w:rPr>
  </w:style>
  <w:style w:type="paragraph" w:styleId="CommentText">
    <w:name w:val="annotation text"/>
    <w:basedOn w:val="Normal"/>
    <w:link w:val="CommentTextChar"/>
    <w:uiPriority w:val="99"/>
    <w:semiHidden/>
    <w:unhideWhenUsed/>
    <w:rsid w:val="006008EF"/>
    <w:pPr>
      <w:spacing w:line="240" w:lineRule="auto"/>
    </w:pPr>
    <w:rPr>
      <w:sz w:val="20"/>
      <w:szCs w:val="20"/>
    </w:rPr>
  </w:style>
  <w:style w:type="character" w:customStyle="1" w:styleId="CommentTextChar">
    <w:name w:val="Comment Text Char"/>
    <w:basedOn w:val="DefaultParagraphFont"/>
    <w:link w:val="CommentText"/>
    <w:uiPriority w:val="99"/>
    <w:semiHidden/>
    <w:rsid w:val="006008EF"/>
    <w:rPr>
      <w:sz w:val="20"/>
      <w:szCs w:val="20"/>
    </w:rPr>
  </w:style>
  <w:style w:type="paragraph" w:styleId="CommentSubject">
    <w:name w:val="annotation subject"/>
    <w:basedOn w:val="CommentText"/>
    <w:next w:val="CommentText"/>
    <w:link w:val="CommentSubjectChar"/>
    <w:uiPriority w:val="99"/>
    <w:semiHidden/>
    <w:unhideWhenUsed/>
    <w:rsid w:val="006008EF"/>
    <w:rPr>
      <w:b/>
      <w:bCs/>
    </w:rPr>
  </w:style>
  <w:style w:type="character" w:customStyle="1" w:styleId="CommentSubjectChar">
    <w:name w:val="Comment Subject Char"/>
    <w:basedOn w:val="CommentTextChar"/>
    <w:link w:val="CommentSubject"/>
    <w:uiPriority w:val="99"/>
    <w:semiHidden/>
    <w:rsid w:val="006008EF"/>
    <w:rPr>
      <w:b/>
      <w:bCs/>
      <w:sz w:val="20"/>
      <w:szCs w:val="20"/>
    </w:rPr>
  </w:style>
  <w:style w:type="paragraph" w:styleId="BalloonText">
    <w:name w:val="Balloon Text"/>
    <w:basedOn w:val="Normal"/>
    <w:link w:val="BalloonTextChar"/>
    <w:uiPriority w:val="99"/>
    <w:semiHidden/>
    <w:unhideWhenUsed/>
    <w:rsid w:val="00600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8EF"/>
    <w:rPr>
      <w:rFonts w:ascii="Segoe UI" w:hAnsi="Segoe UI" w:cs="Segoe UI"/>
      <w:sz w:val="18"/>
      <w:szCs w:val="18"/>
    </w:rPr>
  </w:style>
  <w:style w:type="character" w:styleId="Emphasis">
    <w:name w:val="Emphasis"/>
    <w:basedOn w:val="DefaultParagraphFont"/>
    <w:uiPriority w:val="20"/>
    <w:qFormat/>
    <w:rsid w:val="006008EF"/>
    <w:rPr>
      <w:i/>
      <w:iCs/>
    </w:rPr>
  </w:style>
  <w:style w:type="character" w:styleId="Hyperlink">
    <w:name w:val="Hyperlink"/>
    <w:basedOn w:val="DefaultParagraphFont"/>
    <w:uiPriority w:val="99"/>
    <w:unhideWhenUsed/>
    <w:rsid w:val="006008EF"/>
    <w:rPr>
      <w:color w:val="0000FF"/>
      <w:u w:val="single"/>
    </w:rPr>
  </w:style>
  <w:style w:type="paragraph" w:styleId="Revision">
    <w:name w:val="Revision"/>
    <w:hidden/>
    <w:uiPriority w:val="99"/>
    <w:semiHidden/>
    <w:rsid w:val="00C1371C"/>
    <w:pPr>
      <w:spacing w:after="0" w:line="240" w:lineRule="auto"/>
    </w:pPr>
  </w:style>
  <w:style w:type="paragraph" w:styleId="Bibliography">
    <w:name w:val="Bibliography"/>
    <w:basedOn w:val="Normal"/>
    <w:next w:val="Normal"/>
    <w:uiPriority w:val="37"/>
    <w:unhideWhenUsed/>
    <w:rsid w:val="00874735"/>
    <w:pPr>
      <w:tabs>
        <w:tab w:val="left" w:pos="384"/>
      </w:tabs>
      <w:spacing w:after="240" w:line="240" w:lineRule="auto"/>
      <w:ind w:left="384" w:hanging="384"/>
    </w:pPr>
  </w:style>
  <w:style w:type="character" w:styleId="UnresolvedMention">
    <w:name w:val="Unresolved Mention"/>
    <w:basedOn w:val="DefaultParagraphFont"/>
    <w:uiPriority w:val="99"/>
    <w:semiHidden/>
    <w:unhideWhenUsed/>
    <w:rsid w:val="00874735"/>
    <w:rPr>
      <w:color w:val="605E5C"/>
      <w:shd w:val="clear" w:color="auto" w:fill="E1DFDD"/>
    </w:rPr>
  </w:style>
  <w:style w:type="character" w:styleId="FollowedHyperlink">
    <w:name w:val="FollowedHyperlink"/>
    <w:basedOn w:val="DefaultParagraphFont"/>
    <w:uiPriority w:val="99"/>
    <w:semiHidden/>
    <w:unhideWhenUsed/>
    <w:rsid w:val="005A45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a1d8d15-8dbe-48ce-b0b1-b2dae3f084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0D92F77C11D24AB10A76C601E9EE77" ma:contentTypeVersion="15" ma:contentTypeDescription="Create a new document." ma:contentTypeScope="" ma:versionID="16c7ab05ead4dd4c3de2303f76677c11">
  <xsd:schema xmlns:xsd="http://www.w3.org/2001/XMLSchema" xmlns:xs="http://www.w3.org/2001/XMLSchema" xmlns:p="http://schemas.microsoft.com/office/2006/metadata/properties" xmlns:ns3="1a1d8d15-8dbe-48ce-b0b1-b2dae3f084bd" xmlns:ns4="453e9c61-b387-4856-b28d-06b1a7500550" targetNamespace="http://schemas.microsoft.com/office/2006/metadata/properties" ma:root="true" ma:fieldsID="9f7e948bcc2a9116bffb970168997943" ns3:_="" ns4:_="">
    <xsd:import namespace="1a1d8d15-8dbe-48ce-b0b1-b2dae3f084bd"/>
    <xsd:import namespace="453e9c61-b387-4856-b28d-06b1a75005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d8d15-8dbe-48ce-b0b1-b2dae3f08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3e9c61-b387-4856-b28d-06b1a75005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B6720-625B-4242-A4EF-9BE8EC19D7B2}">
  <ds:schemaRefs>
    <ds:schemaRef ds:uri="http://purl.org/dc/terms/"/>
    <ds:schemaRef ds:uri="http://schemas.microsoft.com/office/2006/metadata/properties"/>
    <ds:schemaRef ds:uri="453e9c61-b387-4856-b28d-06b1a7500550"/>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1a1d8d15-8dbe-48ce-b0b1-b2dae3f084bd"/>
    <ds:schemaRef ds:uri="http://purl.org/dc/elements/1.1/"/>
  </ds:schemaRefs>
</ds:datastoreItem>
</file>

<file path=customXml/itemProps2.xml><?xml version="1.0" encoding="utf-8"?>
<ds:datastoreItem xmlns:ds="http://schemas.openxmlformats.org/officeDocument/2006/customXml" ds:itemID="{55EA9313-A3EA-4425-8A59-1AEC641ECD7D}">
  <ds:schemaRefs>
    <ds:schemaRef ds:uri="http://schemas.microsoft.com/sharepoint/v3/contenttype/forms"/>
  </ds:schemaRefs>
</ds:datastoreItem>
</file>

<file path=customXml/itemProps3.xml><?xml version="1.0" encoding="utf-8"?>
<ds:datastoreItem xmlns:ds="http://schemas.openxmlformats.org/officeDocument/2006/customXml" ds:itemID="{A45FF9AD-DCCA-48B9-A8F6-40111AED3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d8d15-8dbe-48ce-b0b1-b2dae3f084bd"/>
    <ds:schemaRef ds:uri="453e9c61-b387-4856-b28d-06b1a7500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3505</Characters>
  <Application>Microsoft Office Word</Application>
  <DocSecurity>4</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Manchester</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McDermott</dc:creator>
  <cp:keywords/>
  <dc:description/>
  <cp:lastModifiedBy>Caudle, Kelly</cp:lastModifiedBy>
  <cp:revision>2</cp:revision>
  <dcterms:created xsi:type="dcterms:W3CDTF">2023-03-21T17:11:00Z</dcterms:created>
  <dcterms:modified xsi:type="dcterms:W3CDTF">2023-03-21T17:11:00Z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zotero-version="6.0.22"&gt;&lt;session id="wASLPOPd"/&gt;&lt;style id="http://www.zotero.org/styles/the-new-england-journal-of-medicine" hasBibliography="1" bibliographyStyleHasBeenSet="1"/&gt;&lt;prefs&gt;&lt;pref name="fieldType" value="Field"/&gt;&lt;/prefs&gt;&lt;</vt:lpwstr>
  </property>
  <property fmtid="{D5CDD505-2E9C-101B-9397-08002B2CF9AE}" pid="3" name="ZOTERO_PREF_2">
    <vt:lpwstr>/data&gt;</vt:lpwstr>
  </property>
  <property fmtid="{D5CDD505-2E9C-101B-9397-08002B2CF9AE}" pid="4" name="ContentTypeId">
    <vt:lpwstr>0x010100AA0D92F77C11D24AB10A76C601E9EE77</vt:lpwstr>
  </property>
</Properties>
</file>