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65"/>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F22D4B" w:rsidRPr="00F22D4B" w14:paraId="1E940CA9" w14:textId="77777777" w:rsidTr="00A12837">
        <w:trPr>
          <w:tblHeader/>
        </w:trPr>
        <w:tc>
          <w:tcPr>
            <w:tcW w:w="288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14:paraId="6D94877F" w14:textId="77777777" w:rsidR="00F22D4B" w:rsidRPr="00A12837" w:rsidRDefault="00F22D4B" w:rsidP="00F22D4B">
            <w:pPr>
              <w:widowControl w:val="0"/>
              <w:tabs>
                <w:tab w:val="left" w:pos="-388"/>
                <w:tab w:val="left" w:pos="0"/>
                <w:tab w:val="left" w:pos="450"/>
              </w:tabs>
              <w:spacing w:after="58" w:line="240" w:lineRule="auto"/>
              <w:rPr>
                <w:rFonts w:eastAsia="Times New Roman" w:cstheme="minorHAnsi"/>
                <w:b/>
                <w:bCs/>
              </w:rPr>
            </w:pPr>
            <w:r w:rsidRPr="00A12837">
              <w:rPr>
                <w:rFonts w:eastAsia="Times New Roman" w:cstheme="minorHAnsi"/>
                <w:b/>
                <w:bCs/>
              </w:rPr>
              <w:t>TOPIC</w:t>
            </w:r>
          </w:p>
        </w:tc>
        <w:tc>
          <w:tcPr>
            <w:tcW w:w="7462"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14:paraId="761F1249" w14:textId="77777777" w:rsidR="00F22D4B" w:rsidRPr="00A12837" w:rsidRDefault="00F22D4B" w:rsidP="00F22D4B">
            <w:pPr>
              <w:widowControl w:val="0"/>
              <w:tabs>
                <w:tab w:val="left" w:pos="-388"/>
                <w:tab w:val="left" w:pos="0"/>
                <w:tab w:val="left" w:pos="450"/>
              </w:tabs>
              <w:spacing w:after="58" w:line="240" w:lineRule="auto"/>
              <w:rPr>
                <w:rFonts w:eastAsia="Times New Roman" w:cstheme="minorHAnsi"/>
                <w:b/>
                <w:bCs/>
              </w:rPr>
            </w:pPr>
            <w:r w:rsidRPr="00A12837">
              <w:rPr>
                <w:rFonts w:eastAsia="Times New Roman" w:cstheme="minorHAnsi"/>
                <w:b/>
                <w:bCs/>
              </w:rPr>
              <w:t>DISCUSSION/ACTION</w:t>
            </w:r>
          </w:p>
        </w:tc>
        <w:tc>
          <w:tcPr>
            <w:tcW w:w="4132"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14:paraId="210D842A" w14:textId="77777777" w:rsidR="00F22D4B" w:rsidRPr="00A12837" w:rsidRDefault="00F22D4B" w:rsidP="00F22D4B">
            <w:pPr>
              <w:widowControl w:val="0"/>
              <w:tabs>
                <w:tab w:val="left" w:pos="-388"/>
                <w:tab w:val="left" w:pos="0"/>
                <w:tab w:val="left" w:pos="450"/>
              </w:tabs>
              <w:spacing w:after="58" w:line="240" w:lineRule="auto"/>
              <w:rPr>
                <w:rFonts w:eastAsia="Times New Roman" w:cstheme="minorHAnsi"/>
                <w:b/>
                <w:bCs/>
              </w:rPr>
            </w:pPr>
            <w:r w:rsidRPr="00A12837">
              <w:rPr>
                <w:rFonts w:eastAsia="Times New Roman" w:cstheme="minorHAnsi"/>
                <w:b/>
                <w:bCs/>
              </w:rPr>
              <w:t>FOLLOW-UP</w:t>
            </w:r>
          </w:p>
        </w:tc>
      </w:tr>
      <w:tr w:rsidR="00F22D4B" w:rsidRPr="00F22D4B" w14:paraId="68AA33DA" w14:textId="77777777" w:rsidTr="00F22D4B">
        <w:tc>
          <w:tcPr>
            <w:tcW w:w="2880" w:type="dxa"/>
            <w:tcBorders>
              <w:top w:val="single" w:sz="6" w:space="0" w:color="000000"/>
              <w:left w:val="single" w:sz="6" w:space="0" w:color="000000"/>
              <w:bottom w:val="single" w:sz="6" w:space="0" w:color="000000"/>
              <w:right w:val="single" w:sz="6" w:space="0" w:color="000000"/>
            </w:tcBorders>
          </w:tcPr>
          <w:p w14:paraId="30B67B39" w14:textId="77777777" w:rsidR="00F22D4B" w:rsidRPr="00A12837" w:rsidRDefault="00F22D4B" w:rsidP="00F22D4B">
            <w:pPr>
              <w:spacing w:after="0" w:line="240" w:lineRule="auto"/>
              <w:rPr>
                <w:rFonts w:eastAsia="Times New Roman" w:cstheme="minorHAnsi"/>
              </w:rPr>
            </w:pPr>
            <w:r w:rsidRPr="00A12837">
              <w:rPr>
                <w:rFonts w:eastAsia="Times New Roman" w:cstheme="minorHAnsi"/>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63A20CA7" w14:textId="77777777" w:rsidR="00F22D4B" w:rsidRPr="00A12837" w:rsidRDefault="00F22D4B" w:rsidP="00F22D4B">
            <w:pPr>
              <w:spacing w:after="0" w:line="240" w:lineRule="auto"/>
              <w:rPr>
                <w:rFonts w:eastAsia="Times New Roman" w:cstheme="minorHAnsi"/>
              </w:rPr>
            </w:pPr>
            <w:r w:rsidRPr="00A12837">
              <w:rPr>
                <w:rFonts w:eastAsia="Times New Roman" w:cstheme="minorHAnsi"/>
              </w:rPr>
              <w:t>Attendance will be taken by poll after each conference call. Members will receive an email with a poll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5ACC3F6E" w14:textId="6018AEEF" w:rsidR="00F22D4B" w:rsidRPr="00A12837" w:rsidRDefault="00EF4E8D" w:rsidP="00F22D4B">
            <w:pPr>
              <w:tabs>
                <w:tab w:val="left" w:pos="526"/>
                <w:tab w:val="left" w:pos="1102"/>
                <w:tab w:val="left" w:pos="1627"/>
                <w:tab w:val="left" w:pos="2152"/>
              </w:tabs>
              <w:spacing w:after="0" w:line="240" w:lineRule="auto"/>
              <w:rPr>
                <w:rFonts w:eastAsia="Times New Roman" w:cstheme="minorHAnsi"/>
              </w:rPr>
            </w:pPr>
            <w:r w:rsidRPr="00A12837">
              <w:rPr>
                <w:rFonts w:eastAsia="Times New Roman" w:cstheme="minorHAnsi"/>
              </w:rPr>
              <w:t>Carlton Hughes will send StrawPoll for attendance</w:t>
            </w:r>
          </w:p>
        </w:tc>
      </w:tr>
      <w:tr w:rsidR="00F22D4B" w:rsidRPr="00F22D4B" w14:paraId="42A1D70A" w14:textId="77777777" w:rsidTr="00F22D4B">
        <w:tc>
          <w:tcPr>
            <w:tcW w:w="2880" w:type="dxa"/>
            <w:tcBorders>
              <w:top w:val="single" w:sz="6" w:space="0" w:color="000000"/>
              <w:left w:val="single" w:sz="6" w:space="0" w:color="000000"/>
              <w:bottom w:val="single" w:sz="6" w:space="0" w:color="000000"/>
              <w:right w:val="single" w:sz="6" w:space="0" w:color="000000"/>
            </w:tcBorders>
          </w:tcPr>
          <w:p w14:paraId="64942AAE" w14:textId="13AEFB02" w:rsidR="00F22D4B" w:rsidRPr="00A12837" w:rsidRDefault="00EF4E8D" w:rsidP="00F22D4B">
            <w:pPr>
              <w:spacing w:after="0" w:line="240" w:lineRule="auto"/>
              <w:rPr>
                <w:rFonts w:eastAsia="Times New Roman" w:cstheme="minorHAnsi"/>
              </w:rPr>
            </w:pPr>
            <w:r w:rsidRPr="00A12837">
              <w:rPr>
                <w:rFonts w:eastAsia="Times New Roman" w:cstheme="minorHAnsi"/>
              </w:rPr>
              <w:t>Save the Date!</w:t>
            </w:r>
          </w:p>
        </w:tc>
        <w:tc>
          <w:tcPr>
            <w:tcW w:w="7462" w:type="dxa"/>
            <w:tcBorders>
              <w:top w:val="single" w:sz="6" w:space="0" w:color="000000"/>
              <w:left w:val="single" w:sz="6" w:space="0" w:color="000000"/>
              <w:bottom w:val="single" w:sz="6" w:space="0" w:color="000000"/>
              <w:right w:val="single" w:sz="6" w:space="0" w:color="000000"/>
            </w:tcBorders>
          </w:tcPr>
          <w:p w14:paraId="712AD238" w14:textId="66FB7F4F" w:rsidR="00F22D4B" w:rsidRPr="00A12837" w:rsidRDefault="00EF4E8D" w:rsidP="00F22D4B">
            <w:pPr>
              <w:widowControl w:val="0"/>
              <w:spacing w:after="0" w:line="240" w:lineRule="auto"/>
              <w:rPr>
                <w:rFonts w:eastAsia="Times New Roman" w:cstheme="minorHAnsi"/>
              </w:rPr>
            </w:pPr>
            <w:r w:rsidRPr="00A12837">
              <w:rPr>
                <w:rFonts w:eastAsia="Times New Roman" w:cstheme="minorHAnsi"/>
              </w:rPr>
              <w:t>An in-person CPIC meeting will take place June 20</w:t>
            </w:r>
            <w:r w:rsidRPr="00A12837">
              <w:rPr>
                <w:rFonts w:eastAsia="Times New Roman" w:cstheme="minorHAnsi"/>
                <w:vertAlign w:val="superscript"/>
              </w:rPr>
              <w:t>th</w:t>
            </w:r>
            <w:r w:rsidRPr="00A12837">
              <w:rPr>
                <w:rFonts w:eastAsia="Times New Roman" w:cstheme="minorHAnsi"/>
              </w:rPr>
              <w:t xml:space="preserve"> – 21</w:t>
            </w:r>
            <w:r w:rsidRPr="00A12837">
              <w:rPr>
                <w:rFonts w:eastAsia="Times New Roman" w:cstheme="minorHAnsi"/>
                <w:vertAlign w:val="superscript"/>
              </w:rPr>
              <w:t>st</w:t>
            </w:r>
            <w:r w:rsidRPr="00A12837">
              <w:rPr>
                <w:rFonts w:eastAsia="Times New Roman" w:cstheme="minorHAnsi"/>
              </w:rPr>
              <w:t>, 2024 and will be held at the University of Pennsylvania.</w:t>
            </w:r>
          </w:p>
        </w:tc>
        <w:tc>
          <w:tcPr>
            <w:tcW w:w="4132" w:type="dxa"/>
            <w:tcBorders>
              <w:top w:val="single" w:sz="6" w:space="0" w:color="000000"/>
              <w:left w:val="single" w:sz="6" w:space="0" w:color="000000"/>
              <w:bottom w:val="single" w:sz="6" w:space="0" w:color="000000"/>
              <w:right w:val="single" w:sz="6" w:space="0" w:color="000000"/>
            </w:tcBorders>
          </w:tcPr>
          <w:p w14:paraId="12CFA2B6" w14:textId="0E283FAA" w:rsidR="00F22D4B" w:rsidRPr="00A12837" w:rsidRDefault="00EF4E8D" w:rsidP="00F22D4B">
            <w:pPr>
              <w:tabs>
                <w:tab w:val="left" w:pos="526"/>
                <w:tab w:val="left" w:pos="1102"/>
                <w:tab w:val="left" w:pos="1627"/>
                <w:tab w:val="left" w:pos="2152"/>
              </w:tabs>
              <w:spacing w:after="0" w:line="240" w:lineRule="auto"/>
              <w:rPr>
                <w:rFonts w:eastAsia="Times New Roman" w:cstheme="minorHAnsi"/>
              </w:rPr>
            </w:pPr>
            <w:r w:rsidRPr="00A12837">
              <w:rPr>
                <w:rFonts w:eastAsia="Times New Roman" w:cstheme="minorHAnsi"/>
              </w:rPr>
              <w:t>Details to come</w:t>
            </w:r>
          </w:p>
        </w:tc>
      </w:tr>
      <w:tr w:rsidR="00F22D4B" w:rsidRPr="00F22D4B" w14:paraId="65D94CE9" w14:textId="77777777" w:rsidTr="00F22D4B">
        <w:tc>
          <w:tcPr>
            <w:tcW w:w="2880" w:type="dxa"/>
            <w:tcBorders>
              <w:top w:val="single" w:sz="6" w:space="0" w:color="000000"/>
              <w:left w:val="single" w:sz="6" w:space="0" w:color="000000"/>
              <w:bottom w:val="single" w:sz="6" w:space="0" w:color="000000"/>
              <w:right w:val="single" w:sz="6" w:space="0" w:color="000000"/>
            </w:tcBorders>
          </w:tcPr>
          <w:p w14:paraId="55C379F1" w14:textId="016FD5DE" w:rsidR="00F22D4B" w:rsidRPr="00A12837" w:rsidRDefault="00EF4E8D" w:rsidP="00F22D4B">
            <w:pPr>
              <w:shd w:val="clear" w:color="auto" w:fill="FFFFFF"/>
              <w:spacing w:after="0" w:line="240" w:lineRule="auto"/>
              <w:rPr>
                <w:rFonts w:eastAsia="Times New Roman" w:cstheme="minorHAnsi"/>
              </w:rPr>
            </w:pPr>
            <w:r w:rsidRPr="00A12837">
              <w:rPr>
                <w:rFonts w:eastAsia="Times New Roman" w:cstheme="minorHAnsi"/>
              </w:rPr>
              <w:t>Guidelines in-progress</w:t>
            </w:r>
          </w:p>
        </w:tc>
        <w:tc>
          <w:tcPr>
            <w:tcW w:w="7462" w:type="dxa"/>
            <w:tcBorders>
              <w:top w:val="single" w:sz="6" w:space="0" w:color="000000"/>
              <w:left w:val="single" w:sz="6" w:space="0" w:color="000000"/>
              <w:bottom w:val="single" w:sz="6" w:space="0" w:color="000000"/>
              <w:right w:val="single" w:sz="6" w:space="0" w:color="000000"/>
            </w:tcBorders>
          </w:tcPr>
          <w:p w14:paraId="6F90D249" w14:textId="77777777" w:rsidR="00F22D4B" w:rsidRPr="00A12837" w:rsidRDefault="00EF4E8D" w:rsidP="00F22D4B">
            <w:pPr>
              <w:spacing w:after="0" w:line="240" w:lineRule="auto"/>
              <w:rPr>
                <w:rFonts w:eastAsia="Times New Roman" w:cstheme="minorHAnsi"/>
              </w:rPr>
            </w:pPr>
            <w:r w:rsidRPr="00A12837">
              <w:rPr>
                <w:rFonts w:eastAsia="Times New Roman" w:cstheme="minorHAnsi"/>
                <w:i/>
                <w:iCs/>
              </w:rPr>
              <w:t>CYP3A5</w:t>
            </w:r>
            <w:r w:rsidRPr="00A12837">
              <w:rPr>
                <w:rFonts w:eastAsia="Times New Roman" w:cstheme="minorHAnsi"/>
              </w:rPr>
              <w:t>/Tacrolimus – Almost finished with evidence scoring.</w:t>
            </w:r>
          </w:p>
          <w:p w14:paraId="5B573F02" w14:textId="77777777" w:rsidR="00EF4E8D" w:rsidRPr="00A12837" w:rsidRDefault="00EF4E8D" w:rsidP="00F22D4B">
            <w:pPr>
              <w:spacing w:after="0" w:line="240" w:lineRule="auto"/>
              <w:rPr>
                <w:rFonts w:eastAsia="Times New Roman" w:cstheme="minorHAnsi"/>
              </w:rPr>
            </w:pPr>
            <w:r w:rsidRPr="00A12837">
              <w:rPr>
                <w:rFonts w:eastAsia="Times New Roman" w:cstheme="minorHAnsi"/>
                <w:i/>
                <w:iCs/>
              </w:rPr>
              <w:t>CYP2D6</w:t>
            </w:r>
            <w:r w:rsidRPr="00A12837">
              <w:rPr>
                <w:rFonts w:eastAsia="Times New Roman" w:cstheme="minorHAnsi"/>
              </w:rPr>
              <w:t>/Antipsychotics – In evidence review with the authors discussing adding more genes.</w:t>
            </w:r>
          </w:p>
          <w:p w14:paraId="2296A158" w14:textId="77777777" w:rsidR="00EF4E8D" w:rsidRPr="00A12837" w:rsidRDefault="00EF4E8D" w:rsidP="00F22D4B">
            <w:pPr>
              <w:spacing w:after="0" w:line="240" w:lineRule="auto"/>
              <w:rPr>
                <w:rFonts w:eastAsia="Times New Roman" w:cstheme="minorHAnsi"/>
              </w:rPr>
            </w:pPr>
            <w:r w:rsidRPr="00A12837">
              <w:rPr>
                <w:rFonts w:eastAsia="Times New Roman" w:cstheme="minorHAnsi"/>
                <w:i/>
                <w:iCs/>
              </w:rPr>
              <w:t>CYP2D6</w:t>
            </w:r>
            <w:r w:rsidRPr="00A12837">
              <w:rPr>
                <w:rFonts w:eastAsia="Times New Roman" w:cstheme="minorHAnsi"/>
              </w:rPr>
              <w:t>/Beta-blockers – Working with the authors on some questions brought up after being sent out for CPIC review.</w:t>
            </w:r>
          </w:p>
          <w:p w14:paraId="4BDC5319" w14:textId="04EAEE1F" w:rsidR="00EF4E8D" w:rsidRPr="00A12837" w:rsidRDefault="00EF4E8D" w:rsidP="00F22D4B">
            <w:pPr>
              <w:spacing w:after="0" w:line="240" w:lineRule="auto"/>
              <w:rPr>
                <w:rFonts w:eastAsia="Times New Roman" w:cstheme="minorHAnsi"/>
              </w:rPr>
            </w:pPr>
            <w:r w:rsidRPr="00DE7CE6">
              <w:rPr>
                <w:rFonts w:eastAsia="Times New Roman" w:cstheme="minorHAnsi"/>
                <w:i/>
                <w:iCs/>
              </w:rPr>
              <w:t>NAT2</w:t>
            </w:r>
            <w:r w:rsidRPr="00A12837">
              <w:rPr>
                <w:rFonts w:eastAsia="Times New Roman" w:cstheme="minorHAnsi"/>
              </w:rPr>
              <w:t>/Hydralazine – Sent authorship plan to CPIC Steering Committee for review. Evidence review has already been completed</w:t>
            </w:r>
            <w:r w:rsidR="00A12837" w:rsidRPr="00A12837">
              <w:rPr>
                <w:rFonts w:eastAsia="Times New Roman" w:cstheme="minorHAnsi"/>
              </w:rPr>
              <w:t>.</w:t>
            </w:r>
          </w:p>
          <w:p w14:paraId="5FCBA3C3" w14:textId="19586FB7" w:rsidR="00EF4E8D" w:rsidRPr="00A12837" w:rsidRDefault="00A12837" w:rsidP="00F22D4B">
            <w:pPr>
              <w:spacing w:after="0" w:line="240" w:lineRule="auto"/>
              <w:rPr>
                <w:rFonts w:eastAsia="Times New Roman" w:cstheme="minorHAnsi"/>
              </w:rPr>
            </w:pPr>
            <w:r w:rsidRPr="00DE7CE6">
              <w:rPr>
                <w:rFonts w:eastAsia="Times New Roman" w:cstheme="minorHAnsi"/>
                <w:i/>
                <w:iCs/>
              </w:rPr>
              <w:t>CYP2B6</w:t>
            </w:r>
            <w:r w:rsidRPr="00A12837">
              <w:rPr>
                <w:rFonts w:eastAsia="Times New Roman" w:cstheme="minorHAnsi"/>
              </w:rPr>
              <w:t>/Methadone – Plan to send for CPIC review soon.</w:t>
            </w:r>
          </w:p>
        </w:tc>
        <w:tc>
          <w:tcPr>
            <w:tcW w:w="4132" w:type="dxa"/>
            <w:tcBorders>
              <w:top w:val="single" w:sz="6" w:space="0" w:color="000000"/>
              <w:left w:val="single" w:sz="6" w:space="0" w:color="000000"/>
              <w:bottom w:val="single" w:sz="6" w:space="0" w:color="000000"/>
              <w:right w:val="single" w:sz="6" w:space="0" w:color="000000"/>
            </w:tcBorders>
          </w:tcPr>
          <w:p w14:paraId="22565A77" w14:textId="36C73FF7" w:rsidR="00F22D4B" w:rsidRPr="00A12837" w:rsidRDefault="00A12837" w:rsidP="00F22D4B">
            <w:pPr>
              <w:spacing w:after="0" w:line="240" w:lineRule="auto"/>
              <w:rPr>
                <w:rFonts w:eastAsia="Times New Roman" w:cstheme="minorHAnsi"/>
              </w:rPr>
            </w:pPr>
            <w:r w:rsidRPr="00A12837">
              <w:rPr>
                <w:rFonts w:eastAsia="Times New Roman" w:cstheme="minorHAnsi"/>
              </w:rPr>
              <w:t>Kelly will continue to update members</w:t>
            </w:r>
          </w:p>
        </w:tc>
      </w:tr>
      <w:tr w:rsidR="00F22D4B" w:rsidRPr="00F22D4B" w14:paraId="21187E23" w14:textId="77777777" w:rsidTr="00F22D4B">
        <w:tc>
          <w:tcPr>
            <w:tcW w:w="2880" w:type="dxa"/>
            <w:tcBorders>
              <w:top w:val="single" w:sz="6" w:space="0" w:color="000000"/>
              <w:left w:val="single" w:sz="6" w:space="0" w:color="000000"/>
              <w:bottom w:val="single" w:sz="6" w:space="0" w:color="000000"/>
              <w:right w:val="single" w:sz="6" w:space="0" w:color="000000"/>
            </w:tcBorders>
          </w:tcPr>
          <w:p w14:paraId="5C688400" w14:textId="39354DC5" w:rsidR="00F22D4B" w:rsidRPr="00A12837" w:rsidRDefault="00A12837" w:rsidP="00F22D4B">
            <w:pPr>
              <w:spacing w:after="0" w:line="240" w:lineRule="auto"/>
              <w:rPr>
                <w:rFonts w:eastAsia="Times New Roman" w:cstheme="minorHAnsi"/>
              </w:rPr>
            </w:pPr>
            <w:r>
              <w:rPr>
                <w:rFonts w:eastAsia="Times New Roman" w:cstheme="minorHAnsi"/>
              </w:rPr>
              <w:t>Building a pharmacogenomics program</w:t>
            </w:r>
          </w:p>
        </w:tc>
        <w:tc>
          <w:tcPr>
            <w:tcW w:w="7462" w:type="dxa"/>
            <w:tcBorders>
              <w:top w:val="single" w:sz="6" w:space="0" w:color="000000"/>
              <w:left w:val="single" w:sz="6" w:space="0" w:color="000000"/>
              <w:bottom w:val="single" w:sz="6" w:space="0" w:color="000000"/>
              <w:right w:val="single" w:sz="6" w:space="0" w:color="000000"/>
            </w:tcBorders>
          </w:tcPr>
          <w:p w14:paraId="74C2C9A2" w14:textId="77777777" w:rsidR="0095453A" w:rsidRDefault="00A12837" w:rsidP="00F22D4B">
            <w:pPr>
              <w:spacing w:after="0" w:line="240" w:lineRule="auto"/>
            </w:pPr>
            <w:r>
              <w:rPr>
                <w:rFonts w:eastAsia="Times New Roman" w:cstheme="minorHAnsi"/>
              </w:rPr>
              <w:t xml:space="preserve">Sony Tuteja from the University of Pennsylvania School of Medicine presented “Building a Pharmacogenomics Program from the Ground Up: Balancing Research and Clinical Care” where she discussed the path her team &amp; institution took to build and maintain a successful pharmacogenomics program &amp; clinic. </w:t>
            </w:r>
            <w:r w:rsidR="0095453A">
              <w:rPr>
                <w:rFonts w:eastAsia="Times New Roman" w:cstheme="minorHAnsi"/>
              </w:rPr>
              <w:t xml:space="preserve">More information can be found here: </w:t>
            </w:r>
            <w:hyperlink r:id="rId7" w:history="1">
              <w:r w:rsidR="0095453A" w:rsidRPr="00E36AA1">
                <w:rPr>
                  <w:rStyle w:val="Hyperlink"/>
                </w:rPr>
                <w:t>https://www.med.upenn.edu/pgi/</w:t>
              </w:r>
            </w:hyperlink>
          </w:p>
          <w:p w14:paraId="309CC96B" w14:textId="7FFBAA57" w:rsidR="00A12837" w:rsidRPr="00A12837" w:rsidRDefault="00A12837" w:rsidP="00F22D4B">
            <w:pPr>
              <w:spacing w:after="0" w:line="240" w:lineRule="auto"/>
              <w:rPr>
                <w:rFonts w:eastAsia="Times New Roman" w:cstheme="minorHAnsi"/>
              </w:rPr>
            </w:pPr>
            <w:r>
              <w:rPr>
                <w:rFonts w:eastAsia="Times New Roman" w:cstheme="minorHAnsi"/>
              </w:rPr>
              <w:t xml:space="preserve">Slides will be posted with the minutes. </w:t>
            </w:r>
          </w:p>
        </w:tc>
        <w:tc>
          <w:tcPr>
            <w:tcW w:w="4132" w:type="dxa"/>
            <w:tcBorders>
              <w:top w:val="single" w:sz="6" w:space="0" w:color="000000"/>
              <w:left w:val="single" w:sz="6" w:space="0" w:color="000000"/>
              <w:bottom w:val="single" w:sz="6" w:space="0" w:color="000000"/>
              <w:right w:val="single" w:sz="6" w:space="0" w:color="000000"/>
            </w:tcBorders>
          </w:tcPr>
          <w:p w14:paraId="09E7EA69" w14:textId="77777777" w:rsidR="00F22D4B" w:rsidRPr="00A12837" w:rsidRDefault="00F22D4B" w:rsidP="00F22D4B">
            <w:pPr>
              <w:spacing w:after="0" w:line="240" w:lineRule="auto"/>
              <w:rPr>
                <w:rFonts w:eastAsia="Times New Roman" w:cstheme="minorHAnsi"/>
              </w:rPr>
            </w:pPr>
          </w:p>
        </w:tc>
      </w:tr>
    </w:tbl>
    <w:p w14:paraId="43FE517B" w14:textId="5B6A2B54" w:rsidR="00124C1C" w:rsidRDefault="00F22D4B" w:rsidP="00F22D4B">
      <w:pPr>
        <w:ind w:left="-810" w:right="-630"/>
      </w:pPr>
      <w:r w:rsidRPr="00F22D4B">
        <w:rPr>
          <w:rFonts w:ascii="Times New Roman" w:eastAsia="Times New Roman" w:hAnsi="Times New Roman" w:cs="Times New Roman"/>
          <w:sz w:val="24"/>
          <w:szCs w:val="24"/>
        </w:rPr>
        <w:t>DATE:</w:t>
      </w:r>
      <w:r w:rsidR="002414A0">
        <w:rPr>
          <w:rFonts w:ascii="Times New Roman" w:eastAsia="Times New Roman" w:hAnsi="Times New Roman" w:cs="Times New Roman"/>
          <w:sz w:val="24"/>
          <w:szCs w:val="24"/>
        </w:rPr>
        <w:t xml:space="preserve"> October 4, 2023</w:t>
      </w:r>
    </w:p>
    <w:sectPr w:rsidR="00124C1C" w:rsidSect="00F22D4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7CF2" w14:textId="77777777" w:rsidR="00A1031D" w:rsidRDefault="00A1031D" w:rsidP="00F22D4B">
      <w:pPr>
        <w:spacing w:after="0" w:line="240" w:lineRule="auto"/>
      </w:pPr>
      <w:r>
        <w:separator/>
      </w:r>
    </w:p>
  </w:endnote>
  <w:endnote w:type="continuationSeparator" w:id="0">
    <w:p w14:paraId="07CC3705" w14:textId="77777777" w:rsidR="00A1031D" w:rsidRDefault="00A1031D" w:rsidP="00F2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2FD8" w14:textId="77777777" w:rsidR="00A1031D" w:rsidRDefault="00A1031D" w:rsidP="00F22D4B">
      <w:pPr>
        <w:spacing w:after="0" w:line="240" w:lineRule="auto"/>
      </w:pPr>
      <w:r>
        <w:separator/>
      </w:r>
    </w:p>
  </w:footnote>
  <w:footnote w:type="continuationSeparator" w:id="0">
    <w:p w14:paraId="17CB3966" w14:textId="77777777" w:rsidR="00A1031D" w:rsidRDefault="00A1031D" w:rsidP="00F2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E62B" w14:textId="77777777" w:rsidR="00F22D4B" w:rsidRPr="00F22D4B" w:rsidRDefault="00F22D4B" w:rsidP="00F22D4B">
    <w:pPr>
      <w:widowControl w:val="0"/>
      <w:tabs>
        <w:tab w:val="center" w:pos="7200"/>
      </w:tabs>
      <w:spacing w:after="0" w:line="240" w:lineRule="auto"/>
      <w:jc w:val="center"/>
      <w:rPr>
        <w:rFonts w:ascii="Cambria" w:eastAsia="Times New Roman" w:hAnsi="Cambria" w:cs="Times New Roman"/>
        <w:b/>
      </w:rPr>
    </w:pPr>
    <w:r w:rsidRPr="00F22D4B">
      <w:rPr>
        <w:rFonts w:ascii="Cambria" w:eastAsia="Times New Roman" w:hAnsi="Cambria" w:cs="Times New Roman"/>
        <w:b/>
      </w:rPr>
      <w:t>MINUTES</w:t>
    </w:r>
  </w:p>
  <w:p w14:paraId="6C58C18E" w14:textId="77777777" w:rsidR="00F22D4B" w:rsidRPr="00F22D4B" w:rsidRDefault="00F22D4B" w:rsidP="00F22D4B">
    <w:pPr>
      <w:widowControl w:val="0"/>
      <w:tabs>
        <w:tab w:val="center" w:pos="7200"/>
      </w:tabs>
      <w:spacing w:after="0" w:line="240" w:lineRule="auto"/>
      <w:jc w:val="center"/>
      <w:rPr>
        <w:rFonts w:ascii="Cambria" w:eastAsia="Times New Roman" w:hAnsi="Cambria" w:cs="Times New Roman"/>
        <w:b/>
      </w:rPr>
    </w:pPr>
    <w:r w:rsidRPr="00F22D4B">
      <w:rPr>
        <w:rFonts w:ascii="Cambria" w:eastAsia="Times New Roman" w:hAnsi="Cambria" w:cs="Times New Roman"/>
        <w:b/>
      </w:rPr>
      <w:t>CPIC CONFERENCE CALL</w:t>
    </w:r>
  </w:p>
  <w:p w14:paraId="368D18C1" w14:textId="77777777" w:rsidR="00F22D4B" w:rsidRDefault="00F2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38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4B"/>
    <w:rsid w:val="00124C1C"/>
    <w:rsid w:val="002414A0"/>
    <w:rsid w:val="0095453A"/>
    <w:rsid w:val="00A1031D"/>
    <w:rsid w:val="00A12837"/>
    <w:rsid w:val="00BB5165"/>
    <w:rsid w:val="00DE7CE6"/>
    <w:rsid w:val="00E51050"/>
    <w:rsid w:val="00E80D25"/>
    <w:rsid w:val="00EF4E8D"/>
    <w:rsid w:val="00F2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8B5D"/>
  <w15:chartTrackingRefBased/>
  <w15:docId w15:val="{B0ED17BC-9938-40F0-806B-119891B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4B"/>
  </w:style>
  <w:style w:type="paragraph" w:styleId="Footer">
    <w:name w:val="footer"/>
    <w:basedOn w:val="Normal"/>
    <w:link w:val="FooterChar"/>
    <w:uiPriority w:val="99"/>
    <w:unhideWhenUsed/>
    <w:rsid w:val="00F2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4B"/>
  </w:style>
  <w:style w:type="character" w:styleId="Hyperlink">
    <w:name w:val="Hyperlink"/>
    <w:basedOn w:val="DefaultParagraphFont"/>
    <w:uiPriority w:val="99"/>
    <w:unhideWhenUsed/>
    <w:rsid w:val="00954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upenn.edu/p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Carlton</dc:creator>
  <cp:keywords/>
  <dc:description/>
  <cp:lastModifiedBy>Caudle, Kelly</cp:lastModifiedBy>
  <cp:revision>2</cp:revision>
  <dcterms:created xsi:type="dcterms:W3CDTF">2023-11-02T18:01:00Z</dcterms:created>
  <dcterms:modified xsi:type="dcterms:W3CDTF">2023-11-02T18:01:00Z</dcterms:modified>
</cp:coreProperties>
</file>