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627A" w14:textId="55F345CF" w:rsidR="00606591" w:rsidRDefault="00BB3D93" w:rsidP="00BB3D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CA0205" wp14:editId="6080BC14">
                <wp:simplePos x="0" y="0"/>
                <wp:positionH relativeFrom="column">
                  <wp:posOffset>3120390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0267" w14:textId="305A6FE8" w:rsidR="00BB3D93" w:rsidRPr="00BB3D93" w:rsidRDefault="00BB3D93" w:rsidP="00BB3D9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A0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7pt;margin-top:8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te6Y4QAAAAoBAAAPAAAAZHJzL2Rvd25yZXYueG1sTI/LTsMwEEX3SPyDNUhsEHWSVlEIcary&#10;2rBrSaUup/E0CcR2FLtt4OuZrmA5ukd3zi2Wk+nFiUbfOasgnkUgyNZOd7ZRUH283WcgfECrsXeW&#10;FHyTh2V5fVVgrt3Zrum0CY3gEutzVNCGMORS+rolg37mBrKcHdxoMPA5NlKPeOZy08skilJpsLP8&#10;ocWBnluqvzZHo+DnqXpZvd6F+JCEXbJdm/eq/kSlbm+m1SOIQFP4g+Giz+pQstPeHa32oleweIgX&#10;jHKQ8gQGsnSegNgrSOZZBLIs5P8J5S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7XumOEAAAAKAQAADwAAAAAAAAAAAAAAAABoBAAAZHJzL2Rvd25yZXYueG1sUEsFBgAAAAAEAAQA&#10;8wAAAHYFAAAAAA==&#10;" stroked="f">
                <v:textbox style="mso-fit-shape-to-text:t">
                  <w:txbxContent>
                    <w:p w14:paraId="13E30267" w14:textId="305A6FE8" w:rsidR="00BB3D93" w:rsidRPr="00BB3D93" w:rsidRDefault="00BB3D93" w:rsidP="00BB3D93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B3D93">
        <w:rPr>
          <w:noProof/>
        </w:rPr>
        <w:drawing>
          <wp:inline distT="0" distB="0" distL="0" distR="0" wp14:anchorId="600D7B23" wp14:editId="3AFA6CAA">
            <wp:extent cx="2609850" cy="866775"/>
            <wp:effectExtent l="0" t="0" r="0" b="9525"/>
            <wp:docPr id="3" name="Picture 3" descr="cpic-full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pic-full-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hyperlink r:id="rId8" w:history="1"/>
      </w:hyperlink>
    </w:p>
    <w:p w14:paraId="2537E098" w14:textId="4CCD7550" w:rsidR="004322E0" w:rsidRPr="00E428A7" w:rsidRDefault="00BB3D93" w:rsidP="004322E0">
      <w:pPr>
        <w:rPr>
          <w:sz w:val="24"/>
        </w:rPr>
      </w:pPr>
      <w:r w:rsidRPr="00BB3D93">
        <w:rPr>
          <w:b/>
          <w:color w:val="4F81BD" w:themeColor="accent1"/>
          <w:sz w:val="24"/>
        </w:rPr>
        <w:t>SUMMARY:</w:t>
      </w:r>
      <w:r w:rsidRPr="00BB3D93">
        <w:rPr>
          <w:color w:val="4F81BD" w:themeColor="accent1"/>
          <w:sz w:val="24"/>
        </w:rPr>
        <w:t xml:space="preserve"> </w:t>
      </w:r>
      <w:r w:rsidR="00614CE4" w:rsidRPr="00E428A7">
        <w:rPr>
          <w:sz w:val="24"/>
        </w:rPr>
        <w:t xml:space="preserve">The Clinical Pharmacogenetics Implementation Consortium (CPIC®) </w:t>
      </w:r>
      <w:hyperlink r:id="rId9" w:history="1">
        <w:r w:rsidR="00614CE4" w:rsidRPr="00E428A7">
          <w:rPr>
            <w:rStyle w:val="Hyperlink"/>
            <w:sz w:val="24"/>
          </w:rPr>
          <w:t>www.</w:t>
        </w:r>
        <w:r w:rsidR="00614CE4" w:rsidRPr="00E428A7">
          <w:rPr>
            <w:rStyle w:val="Hyperlink"/>
            <w:sz w:val="24"/>
          </w:rPr>
          <w:t>c</w:t>
        </w:r>
        <w:r w:rsidR="00614CE4" w:rsidRPr="00E428A7">
          <w:rPr>
            <w:rStyle w:val="Hyperlink"/>
            <w:sz w:val="24"/>
          </w:rPr>
          <w:t>picpgx.org</w:t>
        </w:r>
      </w:hyperlink>
      <w:r w:rsidR="00614CE4" w:rsidRPr="00E428A7">
        <w:rPr>
          <w:sz w:val="24"/>
        </w:rPr>
        <w:t xml:space="preserve"> is an international consortium </w:t>
      </w:r>
      <w:r>
        <w:rPr>
          <w:sz w:val="24"/>
        </w:rPr>
        <w:t xml:space="preserve">of scientists and clinicians </w:t>
      </w:r>
      <w:r w:rsidR="00E428A7">
        <w:rPr>
          <w:sz w:val="24"/>
        </w:rPr>
        <w:t>which facilitates the</w:t>
      </w:r>
      <w:r w:rsidR="00614CE4" w:rsidRPr="00E428A7">
        <w:rPr>
          <w:sz w:val="24"/>
        </w:rPr>
        <w:t xml:space="preserve"> use of pharmacogenetic tests for patient care</w:t>
      </w:r>
      <w:r w:rsidR="00606591">
        <w:rPr>
          <w:sz w:val="24"/>
        </w:rPr>
        <w:t xml:space="preserve"> by creating freely available, peer-reviewed and evidence-based detailed gene/drug clinical practice guidelines following the rigorous </w:t>
      </w:r>
      <w:r w:rsidR="004322E0">
        <w:rPr>
          <w:sz w:val="24"/>
        </w:rPr>
        <w:t>Institute of Medicine’s</w:t>
      </w:r>
      <w:r w:rsidR="00606591">
        <w:rPr>
          <w:sz w:val="24"/>
        </w:rPr>
        <w:t xml:space="preserve"> standards for writing trustworthy </w:t>
      </w:r>
      <w:r w:rsidR="004322E0">
        <w:rPr>
          <w:sz w:val="24"/>
        </w:rPr>
        <w:t xml:space="preserve">clinical practice </w:t>
      </w:r>
      <w:r w:rsidR="00606591">
        <w:rPr>
          <w:sz w:val="24"/>
        </w:rPr>
        <w:t>guidelines</w:t>
      </w:r>
      <w:r w:rsidR="004455D1">
        <w:rPr>
          <w:sz w:val="24"/>
        </w:rPr>
        <w:t xml:space="preserve"> along with ECRI Guidelines Trust</w:t>
      </w:r>
      <w:r w:rsidR="00614CE4" w:rsidRPr="00E428A7">
        <w:rPr>
          <w:sz w:val="24"/>
        </w:rPr>
        <w:t>.</w:t>
      </w:r>
      <w:r w:rsidR="005E0615">
        <w:rPr>
          <w:sz w:val="24"/>
        </w:rPr>
        <w:t xml:space="preserve"> </w:t>
      </w:r>
      <w:r w:rsidR="009412C0">
        <w:rPr>
          <w:sz w:val="24"/>
        </w:rPr>
        <w:t xml:space="preserve">CPIC works closely with </w:t>
      </w:r>
      <w:r w:rsidR="009412C0" w:rsidRPr="00E428A7">
        <w:rPr>
          <w:sz w:val="24"/>
        </w:rPr>
        <w:t xml:space="preserve">multiple resources </w:t>
      </w:r>
      <w:r w:rsidR="009412C0">
        <w:rPr>
          <w:sz w:val="24"/>
        </w:rPr>
        <w:t>and other groups.</w:t>
      </w:r>
    </w:p>
    <w:p w14:paraId="4B184B81" w14:textId="36519F2D" w:rsidR="004322E0" w:rsidRPr="005052F1" w:rsidRDefault="00AE67D7" w:rsidP="004322E0">
      <w:pPr>
        <w:rPr>
          <w:sz w:val="24"/>
        </w:rPr>
      </w:pPr>
      <w:r w:rsidRPr="00BB3D93">
        <w:rPr>
          <w:b/>
          <w:i/>
          <w:noProof/>
          <w:color w:val="4F81BD" w:themeColor="accent1"/>
        </w:rPr>
        <w:drawing>
          <wp:anchor distT="0" distB="0" distL="114300" distR="114300" simplePos="0" relativeHeight="251663360" behindDoc="0" locked="0" layoutInCell="1" allowOverlap="1" wp14:anchorId="22DDEBF8" wp14:editId="52CA4890">
            <wp:simplePos x="0" y="0"/>
            <wp:positionH relativeFrom="margin">
              <wp:posOffset>533400</wp:posOffset>
            </wp:positionH>
            <wp:positionV relativeFrom="paragraph">
              <wp:posOffset>479425</wp:posOffset>
            </wp:positionV>
            <wp:extent cx="5153025" cy="19977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2E0" w:rsidRPr="00BB3D93">
        <w:rPr>
          <w:b/>
          <w:i/>
          <w:color w:val="4F81BD" w:themeColor="accent1"/>
          <w:sz w:val="24"/>
        </w:rPr>
        <w:t xml:space="preserve">CPIC guidelines are designed to help clinicians understand HOW available genetic test results should be used to optimize drug therapy, </w:t>
      </w:r>
      <w:r w:rsidR="00C90EA0">
        <w:rPr>
          <w:b/>
          <w:i/>
          <w:color w:val="4F81BD" w:themeColor="accent1"/>
          <w:sz w:val="24"/>
        </w:rPr>
        <w:t xml:space="preserve">assuming that genetic testing is becoming more widespread. </w:t>
      </w:r>
    </w:p>
    <w:p w14:paraId="4F615152" w14:textId="114283EE" w:rsidR="00BB3D93" w:rsidRPr="00BB3D93" w:rsidRDefault="00BB3D93" w:rsidP="00BB3D93">
      <w:pPr>
        <w:rPr>
          <w:sz w:val="24"/>
        </w:rPr>
      </w:pPr>
      <w:r w:rsidRPr="00BB3D93">
        <w:rPr>
          <w:b/>
          <w:color w:val="4F81BD" w:themeColor="accent1"/>
          <w:sz w:val="24"/>
        </w:rPr>
        <w:t>CPIC HIGHLIGHTS</w:t>
      </w:r>
      <w:r w:rsidRPr="00BB3D93">
        <w:rPr>
          <w:color w:val="4F81BD" w:themeColor="accent1"/>
          <w:sz w:val="24"/>
        </w:rPr>
        <w:t>:</w:t>
      </w:r>
    </w:p>
    <w:p w14:paraId="230EA7E2" w14:textId="25019875" w:rsidR="004322E0" w:rsidRPr="00BB3D93" w:rsidRDefault="00F00ADA" w:rsidP="00BB3D93">
      <w:pPr>
        <w:pStyle w:val="ListParagraph"/>
        <w:numPr>
          <w:ilvl w:val="0"/>
          <w:numId w:val="2"/>
        </w:numPr>
        <w:rPr>
          <w:sz w:val="24"/>
        </w:rPr>
      </w:pPr>
      <w:r w:rsidRPr="00BB3D93">
        <w:rPr>
          <w:sz w:val="24"/>
        </w:rPr>
        <w:t>Pu</w:t>
      </w:r>
      <w:r w:rsidR="004322E0" w:rsidRPr="00BB3D93">
        <w:rPr>
          <w:sz w:val="24"/>
        </w:rPr>
        <w:t xml:space="preserve">blished in a leading journal (in partnership with </w:t>
      </w:r>
      <w:r w:rsidR="004322E0" w:rsidRPr="00BB3D93">
        <w:rPr>
          <w:i/>
          <w:sz w:val="24"/>
        </w:rPr>
        <w:t>Clinical Pharmacology and Therapeutics</w:t>
      </w:r>
      <w:r w:rsidR="004322E0" w:rsidRPr="00BB3D93">
        <w:rPr>
          <w:sz w:val="24"/>
        </w:rPr>
        <w:t>)</w:t>
      </w:r>
    </w:p>
    <w:p w14:paraId="054F30A6" w14:textId="2EB4DF1C" w:rsidR="004322E0" w:rsidRDefault="00B3646D" w:rsidP="005052F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Freely available</w:t>
      </w:r>
      <w:r w:rsidR="004322E0">
        <w:rPr>
          <w:sz w:val="24"/>
        </w:rPr>
        <w:t xml:space="preserve"> at cpicpgx.org</w:t>
      </w:r>
      <w:r w:rsidR="00C640F9">
        <w:rPr>
          <w:sz w:val="24"/>
        </w:rPr>
        <w:t xml:space="preserve"> </w:t>
      </w:r>
      <w:r>
        <w:rPr>
          <w:sz w:val="24"/>
        </w:rPr>
        <w:t>and updated regularly</w:t>
      </w:r>
    </w:p>
    <w:p w14:paraId="487E56A5" w14:textId="14523102" w:rsidR="004322E0" w:rsidRDefault="004322E0" w:rsidP="005052F1">
      <w:pPr>
        <w:pStyle w:val="ListParagraph"/>
        <w:numPr>
          <w:ilvl w:val="0"/>
          <w:numId w:val="2"/>
        </w:numPr>
        <w:rPr>
          <w:sz w:val="24"/>
        </w:rPr>
      </w:pPr>
      <w:r w:rsidRPr="004322E0">
        <w:rPr>
          <w:sz w:val="24"/>
        </w:rPr>
        <w:t>Contain links to tables that can be used at clinical implementation sites to facilitate integration into electronic health care records</w:t>
      </w:r>
    </w:p>
    <w:p w14:paraId="56BF49FD" w14:textId="68183338" w:rsidR="004322E0" w:rsidRDefault="004322E0" w:rsidP="005052F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</w:t>
      </w:r>
      <w:r w:rsidRPr="00E428A7">
        <w:rPr>
          <w:sz w:val="24"/>
        </w:rPr>
        <w:t xml:space="preserve">ndexed in PubMed as </w:t>
      </w:r>
      <w:r w:rsidR="003E6F17">
        <w:rPr>
          <w:sz w:val="24"/>
        </w:rPr>
        <w:t>P</w:t>
      </w:r>
      <w:r w:rsidR="00C640F9">
        <w:rPr>
          <w:sz w:val="24"/>
        </w:rPr>
        <w:t>ractice</w:t>
      </w:r>
      <w:r w:rsidR="00C640F9" w:rsidRPr="00E428A7">
        <w:rPr>
          <w:sz w:val="24"/>
        </w:rPr>
        <w:t xml:space="preserve"> </w:t>
      </w:r>
      <w:r w:rsidR="003E6F17">
        <w:rPr>
          <w:sz w:val="24"/>
        </w:rPr>
        <w:t>G</w:t>
      </w:r>
      <w:r w:rsidR="003E6F17" w:rsidRPr="00E428A7">
        <w:rPr>
          <w:sz w:val="24"/>
        </w:rPr>
        <w:t>uidelines</w:t>
      </w:r>
    </w:p>
    <w:p w14:paraId="70CB4E19" w14:textId="745447DA" w:rsidR="004322E0" w:rsidRDefault="004322E0" w:rsidP="005052F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Pr="00E428A7">
        <w:rPr>
          <w:sz w:val="24"/>
        </w:rPr>
        <w:t>ndorsed</w:t>
      </w:r>
      <w:r w:rsidR="00C90EA0">
        <w:rPr>
          <w:sz w:val="24"/>
        </w:rPr>
        <w:t xml:space="preserve">/supported </w:t>
      </w:r>
      <w:r w:rsidRPr="00E428A7">
        <w:rPr>
          <w:sz w:val="24"/>
        </w:rPr>
        <w:t>by professional societies</w:t>
      </w:r>
      <w:r w:rsidR="001D7288">
        <w:rPr>
          <w:sz w:val="24"/>
        </w:rPr>
        <w:t xml:space="preserve"> (ASHP, ASCPT</w:t>
      </w:r>
      <w:r w:rsidR="00F00ADA">
        <w:rPr>
          <w:sz w:val="24"/>
        </w:rPr>
        <w:t>, CAP</w:t>
      </w:r>
      <w:r w:rsidR="001D7288">
        <w:rPr>
          <w:sz w:val="24"/>
        </w:rPr>
        <w:t>)</w:t>
      </w:r>
    </w:p>
    <w:p w14:paraId="2C522B17" w14:textId="0315D789" w:rsidR="000E1D35" w:rsidRDefault="000E1D35" w:rsidP="005052F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</w:t>
      </w:r>
      <w:r w:rsidRPr="00F24A01">
        <w:rPr>
          <w:sz w:val="24"/>
        </w:rPr>
        <w:t xml:space="preserve">dheres to standard formats: </w:t>
      </w:r>
      <w:hyperlink r:id="rId11" w:history="1">
        <w:r w:rsidRPr="004322E0">
          <w:rPr>
            <w:rStyle w:val="Hyperlink"/>
            <w:sz w:val="24"/>
          </w:rPr>
          <w:t>standardized ter</w:t>
        </w:r>
        <w:r w:rsidRPr="004322E0">
          <w:rPr>
            <w:rStyle w:val="Hyperlink"/>
            <w:sz w:val="24"/>
          </w:rPr>
          <w:t>m</w:t>
        </w:r>
        <w:r w:rsidRPr="004322E0">
          <w:rPr>
            <w:rStyle w:val="Hyperlink"/>
            <w:sz w:val="24"/>
          </w:rPr>
          <w:t>s</w:t>
        </w:r>
      </w:hyperlink>
      <w:r w:rsidRPr="00F24A01">
        <w:rPr>
          <w:sz w:val="24"/>
        </w:rPr>
        <w:t xml:space="preserve"> for allele function and phenotypes</w:t>
      </w:r>
    </w:p>
    <w:p w14:paraId="77FA568B" w14:textId="502A6282" w:rsidR="000E1D35" w:rsidRDefault="000C2951" w:rsidP="005052F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</w:t>
      </w:r>
      <w:r w:rsidR="000E1D35" w:rsidRPr="00F24A01">
        <w:rPr>
          <w:sz w:val="24"/>
        </w:rPr>
        <w:t>as systems for grading levels of evidence</w:t>
      </w:r>
      <w:r w:rsidR="000E1D35">
        <w:rPr>
          <w:sz w:val="24"/>
        </w:rPr>
        <w:t>, for assigning phenotypes to genotypes and assigning strengths to each prescribing recommendation</w:t>
      </w:r>
    </w:p>
    <w:p w14:paraId="79BB2475" w14:textId="02B51030" w:rsidR="002B3505" w:rsidRDefault="001B1272">
      <w:pPr>
        <w:rPr>
          <w:rStyle w:val="Hyperlink"/>
          <w:sz w:val="24"/>
        </w:rPr>
      </w:pPr>
      <w:r>
        <w:rPr>
          <w:noProof/>
          <w:color w:val="0000FF" w:themeColor="hyperlink"/>
          <w:sz w:val="24"/>
          <w:u w:val="single"/>
        </w:rPr>
        <w:drawing>
          <wp:anchor distT="0" distB="0" distL="114300" distR="114300" simplePos="0" relativeHeight="251666432" behindDoc="0" locked="0" layoutInCell="1" allowOverlap="1" wp14:anchorId="4C4D00F9" wp14:editId="12A6AA6F">
            <wp:simplePos x="0" y="0"/>
            <wp:positionH relativeFrom="column">
              <wp:posOffset>114300</wp:posOffset>
            </wp:positionH>
            <wp:positionV relativeFrom="paragraph">
              <wp:posOffset>909320</wp:posOffset>
            </wp:positionV>
            <wp:extent cx="628650" cy="307975"/>
            <wp:effectExtent l="0" t="0" r="0" b="0"/>
            <wp:wrapThrough wrapText="bothSides">
              <wp:wrapPolygon edited="0">
                <wp:start x="17673" y="0"/>
                <wp:lineTo x="0" y="6680"/>
                <wp:lineTo x="0" y="17369"/>
                <wp:lineTo x="655" y="20041"/>
                <wp:lineTo x="20945" y="20041"/>
                <wp:lineTo x="20945" y="0"/>
                <wp:lineTo x="17673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pic-2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3F6" w:rsidRPr="00E428A7">
        <w:rPr>
          <w:sz w:val="24"/>
        </w:rPr>
        <w:t xml:space="preserve">CPIC has a process for </w:t>
      </w:r>
      <w:hyperlink r:id="rId13" w:history="1">
        <w:r w:rsidR="009803F6" w:rsidRPr="00E428A7">
          <w:rPr>
            <w:rStyle w:val="Hyperlink"/>
            <w:sz w:val="24"/>
          </w:rPr>
          <w:t>priori</w:t>
        </w:r>
        <w:r w:rsidR="009803F6" w:rsidRPr="00E428A7">
          <w:rPr>
            <w:rStyle w:val="Hyperlink"/>
            <w:sz w:val="24"/>
          </w:rPr>
          <w:t>t</w:t>
        </w:r>
        <w:r w:rsidR="009803F6" w:rsidRPr="00E428A7">
          <w:rPr>
            <w:rStyle w:val="Hyperlink"/>
            <w:sz w:val="24"/>
          </w:rPr>
          <w:t>izing</w:t>
        </w:r>
      </w:hyperlink>
      <w:r w:rsidR="009803F6" w:rsidRPr="00E428A7">
        <w:rPr>
          <w:sz w:val="24"/>
        </w:rPr>
        <w:t xml:space="preserve"> CPIC guidelines</w:t>
      </w:r>
      <w:r w:rsidR="005D4E69" w:rsidRPr="00E428A7">
        <w:rPr>
          <w:sz w:val="24"/>
        </w:rPr>
        <w:t xml:space="preserve">. </w:t>
      </w:r>
      <w:r w:rsidR="009803F6" w:rsidRPr="00E428A7">
        <w:rPr>
          <w:sz w:val="24"/>
        </w:rPr>
        <w:t xml:space="preserve">CPIC assigns </w:t>
      </w:r>
      <w:r w:rsidR="005D4E69" w:rsidRPr="00E428A7">
        <w:rPr>
          <w:sz w:val="24"/>
        </w:rPr>
        <w:t xml:space="preserve">actionability levels </w:t>
      </w:r>
      <w:r w:rsidR="009803F6" w:rsidRPr="00E428A7">
        <w:rPr>
          <w:sz w:val="24"/>
        </w:rPr>
        <w:t xml:space="preserve">to </w:t>
      </w:r>
      <w:hyperlink r:id="rId14" w:history="1">
        <w:r w:rsidR="009803F6" w:rsidRPr="00E428A7">
          <w:rPr>
            <w:rStyle w:val="Hyperlink"/>
            <w:sz w:val="24"/>
          </w:rPr>
          <w:t>gene/drug</w:t>
        </w:r>
        <w:r w:rsidR="005D4E69" w:rsidRPr="00E428A7">
          <w:rPr>
            <w:rStyle w:val="Hyperlink"/>
            <w:sz w:val="24"/>
          </w:rPr>
          <w:t xml:space="preserve"> pairs</w:t>
        </w:r>
      </w:hyperlink>
      <w:r w:rsidR="00E428A7">
        <w:rPr>
          <w:sz w:val="24"/>
        </w:rPr>
        <w:t xml:space="preserve">. </w:t>
      </w:r>
      <w:r w:rsidR="005D4E69" w:rsidRPr="00E428A7">
        <w:rPr>
          <w:sz w:val="24"/>
        </w:rPr>
        <w:t xml:space="preserve">CPIC has monthly teleconferences, working groups, and provides </w:t>
      </w:r>
      <w:hyperlink r:id="rId15" w:history="1">
        <w:r w:rsidR="005D4E69" w:rsidRPr="00E428A7">
          <w:rPr>
            <w:rStyle w:val="Hyperlink"/>
            <w:sz w:val="24"/>
          </w:rPr>
          <w:t>resources</w:t>
        </w:r>
      </w:hyperlink>
      <w:r w:rsidR="005D4E69" w:rsidRPr="00E428A7">
        <w:rPr>
          <w:sz w:val="24"/>
        </w:rPr>
        <w:t xml:space="preserve"> for implementers. </w:t>
      </w:r>
      <w:r w:rsidR="005E0615">
        <w:rPr>
          <w:sz w:val="24"/>
        </w:rPr>
        <w:t>All of these resources are available at cpicpgx.org.</w:t>
      </w:r>
      <w:r w:rsidR="00AE67D7">
        <w:rPr>
          <w:sz w:val="24"/>
        </w:rPr>
        <w:t xml:space="preserve"> </w:t>
      </w:r>
      <w:r w:rsidR="00D97341" w:rsidRPr="00E428A7">
        <w:rPr>
          <w:sz w:val="24"/>
        </w:rPr>
        <w:t>All curated content published by CPIC is</w:t>
      </w:r>
      <w:r w:rsidR="003F0C5A">
        <w:rPr>
          <w:sz w:val="24"/>
        </w:rPr>
        <w:t xml:space="preserve"> available </w:t>
      </w:r>
      <w:r w:rsidR="00750FDA">
        <w:rPr>
          <w:sz w:val="24"/>
        </w:rPr>
        <w:t>under a creative commons public domain license</w:t>
      </w:r>
      <w:r w:rsidR="003F0C5A">
        <w:rPr>
          <w:sz w:val="24"/>
        </w:rPr>
        <w:t xml:space="preserve">; </w:t>
      </w:r>
      <w:r w:rsidR="00D97341" w:rsidRPr="00E428A7">
        <w:rPr>
          <w:sz w:val="24"/>
        </w:rPr>
        <w:t xml:space="preserve">CPIC requests that users give </w:t>
      </w:r>
      <w:hyperlink r:id="rId16" w:history="1">
        <w:r w:rsidR="00D97341" w:rsidRPr="00E428A7">
          <w:rPr>
            <w:rStyle w:val="Hyperlink"/>
            <w:sz w:val="24"/>
          </w:rPr>
          <w:t>attribution to CPIC</w:t>
        </w:r>
      </w:hyperlink>
      <w:r w:rsidR="003F0C5A">
        <w:rPr>
          <w:rStyle w:val="Hyperlink"/>
          <w:sz w:val="24"/>
        </w:rPr>
        <w:t xml:space="preserve">. </w:t>
      </w:r>
    </w:p>
    <w:p w14:paraId="4FD0A833" w14:textId="44634BA9" w:rsidR="001B1272" w:rsidRDefault="005102A2">
      <w:pPr>
        <w:rPr>
          <w:rStyle w:val="Hyperlink"/>
          <w:sz w:val="24"/>
        </w:rPr>
      </w:pPr>
      <w:r w:rsidRPr="00DA434F">
        <w:rPr>
          <w:noProof/>
        </w:rPr>
        <w:drawing>
          <wp:anchor distT="0" distB="0" distL="114300" distR="114300" simplePos="0" relativeHeight="251670528" behindDoc="0" locked="0" layoutInCell="1" allowOverlap="1" wp14:anchorId="63EEE22C" wp14:editId="59315BAE">
            <wp:simplePos x="0" y="0"/>
            <wp:positionH relativeFrom="margin">
              <wp:posOffset>413385</wp:posOffset>
            </wp:positionH>
            <wp:positionV relativeFrom="paragraph">
              <wp:posOffset>361315</wp:posOffset>
            </wp:positionV>
            <wp:extent cx="272415" cy="204470"/>
            <wp:effectExtent l="0" t="0" r="0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272" w:rsidRPr="00DA434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E904B7" wp14:editId="53F54CFC">
                <wp:simplePos x="0" y="0"/>
                <wp:positionH relativeFrom="page">
                  <wp:posOffset>4466590</wp:posOffset>
                </wp:positionH>
                <wp:positionV relativeFrom="paragraph">
                  <wp:posOffset>354965</wp:posOffset>
                </wp:positionV>
                <wp:extent cx="303847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74BE" w14:textId="14F1F06C" w:rsidR="001B1272" w:rsidRDefault="001B1272" w:rsidP="001B1272">
                            <w:r>
                              <w:t>CPIC is funded by the NIH U24HG010135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904B7" id="_x0000_s1027" type="#_x0000_t202" style="position:absolute;margin-left:351.7pt;margin-top:27.95pt;width:239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+e/gEAANUDAAAOAAAAZHJzL2Uyb0RvYy54bWysU11v2yAUfZ+0/4B4X+ykTptacaquXaZJ&#10;3YfU7QdgjGM04DIgsbNf3wt202h7q+oHdOGac+8597C+GbQiB+G8BFPR+SynRBgOjTS7iv76uf2w&#10;osQHZhqmwIiKHoWnN5v379a9LcUCOlCNcARBjC97W9EuBFtmmeed0MzPwAqDyRacZgG3bpc1jvWI&#10;rlW2yPPLrAfXWAdceI+n92OSbhJ+2woevretF4GoimJvIa0urXVcs82alTvHbCf51AZ7RReaSYNF&#10;T1D3LDCyd/I/KC25Aw9tmHHQGbSt5CJxQDbz/B82jx2zInFBcbw9yeTfDpZ/OzzaH46E4SMMOMBE&#10;wtsH4L89MXDXMbMTt85B3wnWYOF5lCzrrS+nq1FqX/oIUvdfocEhs32ABDS0TkdVkCdBdBzA8SS6&#10;GALheHiRX6yKqyUlHHPzIi8uF2ksGSufr1vnw2cBmsSgog6nmuDZ4cGH2A4rn3+J1QxspVJpssqQ&#10;vqLXy8UyXTjLaBnQeErqiq7y+I1WiCw/mSZdDkyqMcYCyky0I9ORcxjqgchm0iSqUENzRB0cjD7D&#10;d4FBB+4vJT16rKL+z545QYn6YlDL63lRRFOmTbG8QuLEnWfq8wwzHKEqGigZw7uQjBwpe3uLmm9l&#10;UuOlk6ll9E4SafJ5NOf5Pv318ho3TwAAAP//AwBQSwMEFAAGAAgAAAAhAACutIvgAAAACwEAAA8A&#10;AABkcnMvZG93bnJldi54bWxMj8tOwzAQRfdI/IM1SOyonUBJGzKpKtSWZaFEXbvxkETED8VuGv4e&#10;dwW7Gc3RnXOL1aR7NtLgO2sQkpkARqa2qjMNQvW5fVgA80EaJXtrCOGHPKzK25tC5spezAeNh9Cw&#10;GGJ8LhHaEFzOua9b0tLPrCMTb1920DLEdWi4GuQlhuuep0I8cy07Ez+00tFrS/X34awRXHC77G3Y&#10;v68321FUx12Vds0G8f5uWr8ACzSFPxiu+lEdyuh0smejPOsRMvH4FFGE+XwJ7AokiyROJ4Q0yxLg&#10;ZcH/dyh/AQAA//8DAFBLAQItABQABgAIAAAAIQC2gziS/gAAAOEBAAATAAAAAAAAAAAAAAAAAAAA&#10;AABbQ29udGVudF9UeXBlc10ueG1sUEsBAi0AFAAGAAgAAAAhADj9If/WAAAAlAEAAAsAAAAAAAAA&#10;AAAAAAAALwEAAF9yZWxzLy5yZWxzUEsBAi0AFAAGAAgAAAAhAHIjL57+AQAA1QMAAA4AAAAAAAAA&#10;AAAAAAAALgIAAGRycy9lMm9Eb2MueG1sUEsBAi0AFAAGAAgAAAAhAACutIvgAAAACwEAAA8AAAAA&#10;AAAAAAAAAAAAWAQAAGRycy9kb3ducmV2LnhtbFBLBQYAAAAABAAEAPMAAABlBQAAAAA=&#10;" filled="f" stroked="f">
                <v:textbox style="mso-fit-shape-to-text:t">
                  <w:txbxContent>
                    <w:p w14:paraId="506874BE" w14:textId="14F1F06C" w:rsidR="001B1272" w:rsidRDefault="001B1272" w:rsidP="001B1272">
                      <w:r>
                        <w:t>CPIC is funded by the NIH U24HG010135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1272" w:rsidRPr="00DA434F">
        <w:rPr>
          <w:noProof/>
        </w:rPr>
        <w:drawing>
          <wp:anchor distT="0" distB="0" distL="114300" distR="114300" simplePos="0" relativeHeight="251672576" behindDoc="0" locked="0" layoutInCell="1" allowOverlap="1" wp14:anchorId="56569F4B" wp14:editId="26F4E726">
            <wp:simplePos x="0" y="0"/>
            <wp:positionH relativeFrom="column">
              <wp:posOffset>3686175</wp:posOffset>
            </wp:positionH>
            <wp:positionV relativeFrom="paragraph">
              <wp:posOffset>395605</wp:posOffset>
            </wp:positionV>
            <wp:extent cx="340995" cy="218440"/>
            <wp:effectExtent l="0" t="0" r="190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272" w:rsidRPr="00DA434F">
        <w:rPr>
          <w:rStyle w:val="Hyperlink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5ACB58" wp14:editId="0FF0BBCB">
                <wp:simplePos x="0" y="0"/>
                <wp:positionH relativeFrom="column">
                  <wp:posOffset>752475</wp:posOffset>
                </wp:positionH>
                <wp:positionV relativeFrom="paragraph">
                  <wp:posOffset>335280</wp:posOffset>
                </wp:positionV>
                <wp:extent cx="30861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31BD" w14:textId="59A43578" w:rsidR="001B1272" w:rsidRDefault="001B1272">
                            <w:r>
                              <w:t>Follow us @cpicpgx for news and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ACB58" id="_x0000_s1028" type="#_x0000_t202" style="position:absolute;margin-left:59.25pt;margin-top:26.4pt;width:24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zs/g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25XFQlhgTGqlk5W0zzWApeP6c7H+JnCYakDaMep5rh+eE+xNQOr59/SdUsbJTWebLakp7R&#10;q/l0nhMuIkZFNJ5WhtFlmb7RConlJ9vk5MiVHvdYQNsT7cR05ByH7UBUw+g05SYVttAcUQcPo8/w&#10;XeCmA/+Hkh49xmj4vedeUqK/WNTyqprNkinzYTb/gMSJv4xsLyPcCoRiNFIybm9jNnKiHNwNar5R&#10;WY2XTk4to3eySCefJ3NenvNfL69x/QQAAP//AwBQSwMEFAAGAAgAAAAhAJ4ipOLdAAAACgEAAA8A&#10;AABkcnMvZG93bnJldi54bWxMj81OwzAQhO9IvIO1SNyo3ah/CnGqCrXlCJSIsxsvSUS8tmI3DW/P&#10;coLjzH6anSm2k+vFiEPsPGmYzxQIpNrbjhoN1fvhYQMiJkPW9J5QwzdG2Ja3N4XJrb/SG46n1AgO&#10;oZgbDW1KIZcy1i06E2c+IPHt0w/OJJZDI+1grhzuepkptZLOdMQfWhPwqcX663RxGkIKx/Xz8PK6&#10;2x9GVX0cq6xr9lrf3027RxAJp/QHw299rg4ldzr7C9koetbzzZJRDcuMJzCwUgs2zhqy9UKBLAv5&#10;f0L5AwAA//8DAFBLAQItABQABgAIAAAAIQC2gziS/gAAAOEBAAATAAAAAAAAAAAAAAAAAAAAAABb&#10;Q29udGVudF9UeXBlc10ueG1sUEsBAi0AFAAGAAgAAAAhADj9If/WAAAAlAEAAAsAAAAAAAAAAAAA&#10;AAAALwEAAF9yZWxzLy5yZWxzUEsBAi0AFAAGAAgAAAAhAB1r/Oz+AQAA1QMAAA4AAAAAAAAAAAAA&#10;AAAALgIAAGRycy9lMm9Eb2MueG1sUEsBAi0AFAAGAAgAAAAhAJ4ipOLdAAAACgEAAA8AAAAAAAAA&#10;AAAAAAAAWAQAAGRycy9kb3ducmV2LnhtbFBLBQYAAAAABAAEAPMAAABiBQAAAAA=&#10;" filled="f" stroked="f">
                <v:textbox style="mso-fit-shape-to-text:t">
                  <w:txbxContent>
                    <w:p w14:paraId="6E0F31BD" w14:textId="59A43578" w:rsidR="001B1272" w:rsidRDefault="001B1272">
                      <w:r>
                        <w:t>Follow us @cpicpgx for news and updates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272" w:rsidRPr="00DA434F">
        <w:rPr>
          <w:rStyle w:val="Hyperlink"/>
          <w:color w:val="auto"/>
          <w:u w:val="none"/>
        </w:rPr>
        <w:t xml:space="preserve">An overview presentation is available at </w:t>
      </w:r>
      <w:hyperlink r:id="rId19" w:history="1">
        <w:r w:rsidR="00B3646D" w:rsidRPr="00520B3A">
          <w:rPr>
            <w:rStyle w:val="Hyperlink"/>
          </w:rPr>
          <w:t>https://cpicpgx.org/resources/</w:t>
        </w:r>
      </w:hyperlink>
      <w:r w:rsidR="00B3646D">
        <w:rPr>
          <w:rStyle w:val="Hyperlink"/>
          <w:color w:val="auto"/>
          <w:u w:val="none"/>
        </w:rPr>
        <w:t xml:space="preserve"> </w:t>
      </w:r>
    </w:p>
    <w:sectPr w:rsidR="001B1272" w:rsidSect="001B12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802"/>
    <w:multiLevelType w:val="hybridMultilevel"/>
    <w:tmpl w:val="54D042DA"/>
    <w:lvl w:ilvl="0" w:tplc="20B4E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37E2"/>
    <w:multiLevelType w:val="hybridMultilevel"/>
    <w:tmpl w:val="3536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1796">
    <w:abstractNumId w:val="1"/>
  </w:num>
  <w:num w:numId="2" w16cid:durableId="194735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85"/>
    <w:rsid w:val="00000F3C"/>
    <w:rsid w:val="000059EB"/>
    <w:rsid w:val="000217B5"/>
    <w:rsid w:val="000A6DE2"/>
    <w:rsid w:val="000C2951"/>
    <w:rsid w:val="000E1D35"/>
    <w:rsid w:val="001A7B9A"/>
    <w:rsid w:val="001B1272"/>
    <w:rsid w:val="001D7288"/>
    <w:rsid w:val="001F67DA"/>
    <w:rsid w:val="002A0DE0"/>
    <w:rsid w:val="002B3505"/>
    <w:rsid w:val="002C1C84"/>
    <w:rsid w:val="002F102C"/>
    <w:rsid w:val="0034167E"/>
    <w:rsid w:val="00377A85"/>
    <w:rsid w:val="003D08A8"/>
    <w:rsid w:val="003E6F17"/>
    <w:rsid w:val="003F0C5A"/>
    <w:rsid w:val="003F22D6"/>
    <w:rsid w:val="00420156"/>
    <w:rsid w:val="004322E0"/>
    <w:rsid w:val="0043383C"/>
    <w:rsid w:val="004455D1"/>
    <w:rsid w:val="004640BF"/>
    <w:rsid w:val="004B6E14"/>
    <w:rsid w:val="004F31F9"/>
    <w:rsid w:val="00504866"/>
    <w:rsid w:val="005052F1"/>
    <w:rsid w:val="005102A2"/>
    <w:rsid w:val="005238C4"/>
    <w:rsid w:val="0057187F"/>
    <w:rsid w:val="005B2433"/>
    <w:rsid w:val="005D4E69"/>
    <w:rsid w:val="005E0615"/>
    <w:rsid w:val="00606591"/>
    <w:rsid w:val="006119A9"/>
    <w:rsid w:val="00614CE4"/>
    <w:rsid w:val="00647EBA"/>
    <w:rsid w:val="006F2E1F"/>
    <w:rsid w:val="00750FDA"/>
    <w:rsid w:val="00766DA7"/>
    <w:rsid w:val="00864C47"/>
    <w:rsid w:val="00896F85"/>
    <w:rsid w:val="008F2CB1"/>
    <w:rsid w:val="009412C0"/>
    <w:rsid w:val="009803F6"/>
    <w:rsid w:val="0098739F"/>
    <w:rsid w:val="00A27E9F"/>
    <w:rsid w:val="00A66754"/>
    <w:rsid w:val="00AE67D7"/>
    <w:rsid w:val="00B3646D"/>
    <w:rsid w:val="00BB3D93"/>
    <w:rsid w:val="00BF747A"/>
    <w:rsid w:val="00C640F9"/>
    <w:rsid w:val="00C90EA0"/>
    <w:rsid w:val="00C97C98"/>
    <w:rsid w:val="00CE6381"/>
    <w:rsid w:val="00D66223"/>
    <w:rsid w:val="00D815B0"/>
    <w:rsid w:val="00D97341"/>
    <w:rsid w:val="00DA434F"/>
    <w:rsid w:val="00DD5F5E"/>
    <w:rsid w:val="00DF2771"/>
    <w:rsid w:val="00E30CEA"/>
    <w:rsid w:val="00E428A7"/>
    <w:rsid w:val="00E45EF7"/>
    <w:rsid w:val="00E5193C"/>
    <w:rsid w:val="00EB62E9"/>
    <w:rsid w:val="00EC7E93"/>
    <w:rsid w:val="00EF7E47"/>
    <w:rsid w:val="00F00ADA"/>
    <w:rsid w:val="00F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FF78"/>
  <w15:docId w15:val="{78CB6B56-A71F-4593-A92E-F7876819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5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0C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E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22E0"/>
    <w:pPr>
      <w:ind w:left="720"/>
      <w:contextualSpacing/>
    </w:pPr>
  </w:style>
  <w:style w:type="paragraph" w:styleId="Revision">
    <w:name w:val="Revision"/>
    <w:hidden/>
    <w:uiPriority w:val="99"/>
    <w:semiHidden/>
    <w:rsid w:val="00C64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cpgx.org" TargetMode="External"/><Relationship Id="rId13" Type="http://schemas.openxmlformats.org/officeDocument/2006/relationships/hyperlink" Target="https://cpicpgx.org/prioritization-of-cpic-guidelines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picpgx.org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cpicpgx.org/licens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picpgx.org/resources/term-standardiz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picpgx.org/resources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picpgx.org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icpgx.org" TargetMode="External"/><Relationship Id="rId14" Type="http://schemas.openxmlformats.org/officeDocument/2006/relationships/hyperlink" Target="https://cpicpgx.org/genes-dru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1DFD-2ACB-48B6-8426-C55972F0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w7x64110607</dc:creator>
  <cp:lastModifiedBy>Bourque, Melissa</cp:lastModifiedBy>
  <cp:revision>3</cp:revision>
  <cp:lastPrinted>2024-08-26T14:17:00Z</cp:lastPrinted>
  <dcterms:created xsi:type="dcterms:W3CDTF">2025-03-28T20:14:00Z</dcterms:created>
  <dcterms:modified xsi:type="dcterms:W3CDTF">2025-03-28T20:15:00Z</dcterms:modified>
</cp:coreProperties>
</file>