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D0E14" w14:textId="7E0D14CA" w:rsidR="00C32953" w:rsidRPr="00DA600D" w:rsidRDefault="008208DB" w:rsidP="000F48BE">
      <w:pPr>
        <w:pStyle w:val="Title"/>
        <w:rPr>
          <w:b/>
          <w:bCs/>
        </w:rPr>
      </w:pPr>
      <w:r>
        <w:t xml:space="preserve">                                                                                                                                                                                                             </w:t>
      </w:r>
      <w:r w:rsidR="000F48BE" w:rsidRPr="00DA600D">
        <w:rPr>
          <w:b/>
          <w:bCs/>
        </w:rPr>
        <w:t xml:space="preserve">Clinical Functional Assignment of </w:t>
      </w:r>
      <w:r w:rsidR="000F48BE" w:rsidRPr="00DA600D">
        <w:rPr>
          <w:b/>
          <w:bCs/>
          <w:i/>
          <w:iCs/>
        </w:rPr>
        <w:t>NAT2</w:t>
      </w:r>
      <w:r w:rsidR="000F48BE" w:rsidRPr="00DA600D">
        <w:rPr>
          <w:b/>
          <w:bCs/>
        </w:rPr>
        <w:t xml:space="preserve"> </w:t>
      </w:r>
      <w:r w:rsidR="004C458E" w:rsidRPr="00DA600D">
        <w:rPr>
          <w:b/>
          <w:bCs/>
        </w:rPr>
        <w:t xml:space="preserve">Star </w:t>
      </w:r>
      <w:r w:rsidR="006509C1" w:rsidRPr="00DA600D">
        <w:rPr>
          <w:b/>
          <w:bCs/>
        </w:rPr>
        <w:t xml:space="preserve">Alleles </w:t>
      </w:r>
      <w:r w:rsidR="000F48BE" w:rsidRPr="00DA600D">
        <w:rPr>
          <w:b/>
          <w:bCs/>
        </w:rPr>
        <w:t>by the C</w:t>
      </w:r>
      <w:r w:rsidR="004A6F25" w:rsidRPr="00DA600D">
        <w:rPr>
          <w:b/>
          <w:bCs/>
        </w:rPr>
        <w:t>linical Pharmacogenetic</w:t>
      </w:r>
      <w:r w:rsidR="000B5849" w:rsidRPr="00DA600D">
        <w:rPr>
          <w:b/>
          <w:bCs/>
        </w:rPr>
        <w:t>s</w:t>
      </w:r>
      <w:r w:rsidR="004A6F25" w:rsidRPr="00DA600D">
        <w:rPr>
          <w:b/>
          <w:bCs/>
        </w:rPr>
        <w:t xml:space="preserve"> Implementation Consortium</w:t>
      </w:r>
      <w:r w:rsidR="000F48BE" w:rsidRPr="00DA600D">
        <w:rPr>
          <w:b/>
          <w:bCs/>
        </w:rPr>
        <w:t xml:space="preserve"> </w:t>
      </w:r>
      <w:r w:rsidR="002753B4" w:rsidRPr="00DA600D">
        <w:rPr>
          <w:b/>
          <w:bCs/>
        </w:rPr>
        <w:t>Pharmacoge</w:t>
      </w:r>
      <w:r w:rsidR="000F48BE" w:rsidRPr="00DA600D">
        <w:rPr>
          <w:b/>
          <w:bCs/>
        </w:rPr>
        <w:t xml:space="preserve">ne </w:t>
      </w:r>
      <w:r w:rsidR="002753B4" w:rsidRPr="00DA600D">
        <w:rPr>
          <w:b/>
          <w:bCs/>
        </w:rPr>
        <w:t>Curation</w:t>
      </w:r>
      <w:r w:rsidR="000F48BE" w:rsidRPr="00DA600D">
        <w:rPr>
          <w:b/>
          <w:bCs/>
        </w:rPr>
        <w:t xml:space="preserve"> Expert Panel – Supplemental Material</w:t>
      </w:r>
      <w:r w:rsidR="00FE604C" w:rsidRPr="00DA600D">
        <w:rPr>
          <w:b/>
          <w:bCs/>
        </w:rPr>
        <w:t>s</w:t>
      </w:r>
    </w:p>
    <w:p w14:paraId="5DCD4995" w14:textId="77777777" w:rsidR="00FE604C" w:rsidRDefault="00FE604C" w:rsidP="00FE604C"/>
    <w:sdt>
      <w:sdtPr>
        <w:rPr>
          <w:rFonts w:asciiTheme="minorHAnsi" w:eastAsiaTheme="minorHAnsi" w:hAnsiTheme="minorHAnsi" w:cstheme="minorBidi"/>
          <w:color w:val="auto"/>
          <w:kern w:val="2"/>
          <w:sz w:val="22"/>
          <w:szCs w:val="22"/>
          <w14:ligatures w14:val="standardContextual"/>
        </w:rPr>
        <w:id w:val="-1226378338"/>
        <w:docPartObj>
          <w:docPartGallery w:val="Table of Contents"/>
          <w:docPartUnique/>
        </w:docPartObj>
      </w:sdtPr>
      <w:sdtEndPr>
        <w:rPr>
          <w:b/>
          <w:bCs/>
          <w:noProof/>
        </w:rPr>
      </w:sdtEndPr>
      <w:sdtContent>
        <w:p w14:paraId="7A3C5AA5" w14:textId="1616686B" w:rsidR="00FE604C" w:rsidRPr="00FE604C" w:rsidRDefault="00FE604C">
          <w:pPr>
            <w:pStyle w:val="TOCHeading"/>
            <w:rPr>
              <w:b/>
              <w:bCs/>
              <w:color w:val="auto"/>
            </w:rPr>
          </w:pPr>
          <w:r w:rsidRPr="00FE604C">
            <w:rPr>
              <w:b/>
              <w:bCs/>
              <w:color w:val="auto"/>
            </w:rPr>
            <w:t>Table of Contents</w:t>
          </w:r>
        </w:p>
        <w:p w14:paraId="2560F8F9" w14:textId="0F2BF5B9" w:rsidR="00BB6B01" w:rsidRDefault="00FE604C">
          <w:pPr>
            <w:pStyle w:val="TOC1"/>
            <w:tabs>
              <w:tab w:val="right" w:leader="dot" w:pos="10790"/>
            </w:tabs>
            <w:rPr>
              <w:rFonts w:eastAsiaTheme="minorEastAsia"/>
              <w:noProof/>
              <w:sz w:val="24"/>
              <w:szCs w:val="24"/>
            </w:rPr>
          </w:pPr>
          <w:r>
            <w:fldChar w:fldCharType="begin"/>
          </w:r>
          <w:r>
            <w:instrText xml:space="preserve"> TOC \o "1-3" \h \z \u </w:instrText>
          </w:r>
          <w:r>
            <w:fldChar w:fldCharType="separate"/>
          </w:r>
          <w:hyperlink w:anchor="_Toc202350496" w:history="1">
            <w:r w:rsidR="00BB6B01" w:rsidRPr="00BD1186">
              <w:rPr>
                <w:rStyle w:val="Hyperlink"/>
                <w:noProof/>
              </w:rPr>
              <w:t>Supplemental Methods</w:t>
            </w:r>
            <w:r w:rsidR="00BB6B01">
              <w:rPr>
                <w:noProof/>
                <w:webHidden/>
              </w:rPr>
              <w:tab/>
            </w:r>
            <w:r w:rsidR="00BB6B01">
              <w:rPr>
                <w:noProof/>
                <w:webHidden/>
              </w:rPr>
              <w:fldChar w:fldCharType="begin"/>
            </w:r>
            <w:r w:rsidR="00BB6B01">
              <w:rPr>
                <w:noProof/>
                <w:webHidden/>
              </w:rPr>
              <w:instrText xml:space="preserve"> PAGEREF _Toc202350496 \h </w:instrText>
            </w:r>
            <w:r w:rsidR="00BB6B01">
              <w:rPr>
                <w:noProof/>
                <w:webHidden/>
              </w:rPr>
            </w:r>
            <w:r w:rsidR="00BB6B01">
              <w:rPr>
                <w:noProof/>
                <w:webHidden/>
              </w:rPr>
              <w:fldChar w:fldCharType="separate"/>
            </w:r>
            <w:r w:rsidR="00BB6B01">
              <w:rPr>
                <w:noProof/>
                <w:webHidden/>
              </w:rPr>
              <w:t>2</w:t>
            </w:r>
            <w:r w:rsidR="00BB6B01">
              <w:rPr>
                <w:noProof/>
                <w:webHidden/>
              </w:rPr>
              <w:fldChar w:fldCharType="end"/>
            </w:r>
          </w:hyperlink>
        </w:p>
        <w:p w14:paraId="143C3629" w14:textId="78EB5F6B" w:rsidR="00BB6B01" w:rsidRDefault="00BB6B01">
          <w:pPr>
            <w:pStyle w:val="TOC2"/>
            <w:tabs>
              <w:tab w:val="right" w:leader="dot" w:pos="10790"/>
            </w:tabs>
            <w:rPr>
              <w:noProof/>
            </w:rPr>
          </w:pPr>
          <w:hyperlink w:anchor="_Toc202350497" w:history="1">
            <w:r w:rsidRPr="00BD1186">
              <w:rPr>
                <w:rStyle w:val="Hyperlink"/>
                <w:noProof/>
              </w:rPr>
              <w:t>Inclusion of Alleles</w:t>
            </w:r>
            <w:r>
              <w:rPr>
                <w:noProof/>
                <w:webHidden/>
              </w:rPr>
              <w:tab/>
            </w:r>
            <w:r>
              <w:rPr>
                <w:noProof/>
                <w:webHidden/>
              </w:rPr>
              <w:fldChar w:fldCharType="begin"/>
            </w:r>
            <w:r>
              <w:rPr>
                <w:noProof/>
                <w:webHidden/>
              </w:rPr>
              <w:instrText xml:space="preserve"> PAGEREF _Toc202350497 \h </w:instrText>
            </w:r>
            <w:r>
              <w:rPr>
                <w:noProof/>
                <w:webHidden/>
              </w:rPr>
            </w:r>
            <w:r>
              <w:rPr>
                <w:noProof/>
                <w:webHidden/>
              </w:rPr>
              <w:fldChar w:fldCharType="separate"/>
            </w:r>
            <w:r>
              <w:rPr>
                <w:noProof/>
                <w:webHidden/>
              </w:rPr>
              <w:t>2</w:t>
            </w:r>
            <w:r>
              <w:rPr>
                <w:noProof/>
                <w:webHidden/>
              </w:rPr>
              <w:fldChar w:fldCharType="end"/>
            </w:r>
          </w:hyperlink>
        </w:p>
        <w:p w14:paraId="64F6843B" w14:textId="63440F62" w:rsidR="00BB6B01" w:rsidRDefault="00BB6B01">
          <w:pPr>
            <w:pStyle w:val="TOC2"/>
            <w:tabs>
              <w:tab w:val="right" w:leader="dot" w:pos="10790"/>
            </w:tabs>
            <w:rPr>
              <w:noProof/>
            </w:rPr>
          </w:pPr>
          <w:hyperlink w:anchor="_Toc202350498" w:history="1">
            <w:r w:rsidRPr="00BD1186">
              <w:rPr>
                <w:rStyle w:val="Hyperlink"/>
                <w:noProof/>
              </w:rPr>
              <w:t>Evaluation of Evidence</w:t>
            </w:r>
            <w:r>
              <w:rPr>
                <w:noProof/>
                <w:webHidden/>
              </w:rPr>
              <w:tab/>
            </w:r>
            <w:r>
              <w:rPr>
                <w:noProof/>
                <w:webHidden/>
              </w:rPr>
              <w:fldChar w:fldCharType="begin"/>
            </w:r>
            <w:r>
              <w:rPr>
                <w:noProof/>
                <w:webHidden/>
              </w:rPr>
              <w:instrText xml:space="preserve"> PAGEREF _Toc202350498 \h </w:instrText>
            </w:r>
            <w:r>
              <w:rPr>
                <w:noProof/>
                <w:webHidden/>
              </w:rPr>
            </w:r>
            <w:r>
              <w:rPr>
                <w:noProof/>
                <w:webHidden/>
              </w:rPr>
              <w:fldChar w:fldCharType="separate"/>
            </w:r>
            <w:r>
              <w:rPr>
                <w:noProof/>
                <w:webHidden/>
              </w:rPr>
              <w:t>2</w:t>
            </w:r>
            <w:r>
              <w:rPr>
                <w:noProof/>
                <w:webHidden/>
              </w:rPr>
              <w:fldChar w:fldCharType="end"/>
            </w:r>
          </w:hyperlink>
        </w:p>
        <w:p w14:paraId="603BB442" w14:textId="204244AE" w:rsidR="00BB6B01" w:rsidRDefault="00BB6B01">
          <w:pPr>
            <w:pStyle w:val="TOC1"/>
            <w:tabs>
              <w:tab w:val="right" w:leader="dot" w:pos="10790"/>
            </w:tabs>
            <w:rPr>
              <w:rFonts w:eastAsiaTheme="minorEastAsia"/>
              <w:noProof/>
              <w:sz w:val="24"/>
              <w:szCs w:val="24"/>
            </w:rPr>
          </w:pPr>
          <w:hyperlink w:anchor="_Toc202350499" w:history="1">
            <w:r w:rsidRPr="00BD1186">
              <w:rPr>
                <w:rStyle w:val="Hyperlink"/>
                <w:noProof/>
              </w:rPr>
              <w:t>Allele Frequency</w:t>
            </w:r>
            <w:r>
              <w:rPr>
                <w:noProof/>
                <w:webHidden/>
              </w:rPr>
              <w:tab/>
            </w:r>
            <w:r>
              <w:rPr>
                <w:noProof/>
                <w:webHidden/>
              </w:rPr>
              <w:fldChar w:fldCharType="begin"/>
            </w:r>
            <w:r>
              <w:rPr>
                <w:noProof/>
                <w:webHidden/>
              </w:rPr>
              <w:instrText xml:space="preserve"> PAGEREF _Toc202350499 \h </w:instrText>
            </w:r>
            <w:r>
              <w:rPr>
                <w:noProof/>
                <w:webHidden/>
              </w:rPr>
            </w:r>
            <w:r>
              <w:rPr>
                <w:noProof/>
                <w:webHidden/>
              </w:rPr>
              <w:fldChar w:fldCharType="separate"/>
            </w:r>
            <w:r>
              <w:rPr>
                <w:noProof/>
                <w:webHidden/>
              </w:rPr>
              <w:t>3</w:t>
            </w:r>
            <w:r>
              <w:rPr>
                <w:noProof/>
                <w:webHidden/>
              </w:rPr>
              <w:fldChar w:fldCharType="end"/>
            </w:r>
          </w:hyperlink>
        </w:p>
        <w:p w14:paraId="6D7F263C" w14:textId="4383F634" w:rsidR="00BB6B01" w:rsidRDefault="00BB6B01">
          <w:pPr>
            <w:pStyle w:val="TOC1"/>
            <w:tabs>
              <w:tab w:val="right" w:leader="dot" w:pos="10790"/>
            </w:tabs>
            <w:rPr>
              <w:rFonts w:eastAsiaTheme="minorEastAsia"/>
              <w:noProof/>
              <w:sz w:val="24"/>
              <w:szCs w:val="24"/>
            </w:rPr>
          </w:pPr>
          <w:hyperlink w:anchor="_Toc202350500" w:history="1">
            <w:r w:rsidRPr="00BD1186">
              <w:rPr>
                <w:rStyle w:val="Hyperlink"/>
                <w:noProof/>
              </w:rPr>
              <w:t xml:space="preserve">Figure S1. </w:t>
            </w:r>
            <w:r w:rsidRPr="00BD1186">
              <w:rPr>
                <w:rStyle w:val="Hyperlink"/>
                <w:i/>
                <w:iCs/>
                <w:noProof/>
              </w:rPr>
              <w:t>NAT2</w:t>
            </w:r>
            <w:r w:rsidRPr="00BD1186">
              <w:rPr>
                <w:rStyle w:val="Hyperlink"/>
                <w:noProof/>
              </w:rPr>
              <w:t xml:space="preserve"> Allele Nomenclature Survey Process and Results</w:t>
            </w:r>
            <w:r>
              <w:rPr>
                <w:noProof/>
                <w:webHidden/>
              </w:rPr>
              <w:tab/>
            </w:r>
            <w:r>
              <w:rPr>
                <w:noProof/>
                <w:webHidden/>
              </w:rPr>
              <w:fldChar w:fldCharType="begin"/>
            </w:r>
            <w:r>
              <w:rPr>
                <w:noProof/>
                <w:webHidden/>
              </w:rPr>
              <w:instrText xml:space="preserve"> PAGEREF _Toc202350500 \h </w:instrText>
            </w:r>
            <w:r>
              <w:rPr>
                <w:noProof/>
                <w:webHidden/>
              </w:rPr>
            </w:r>
            <w:r>
              <w:rPr>
                <w:noProof/>
                <w:webHidden/>
              </w:rPr>
              <w:fldChar w:fldCharType="separate"/>
            </w:r>
            <w:r>
              <w:rPr>
                <w:noProof/>
                <w:webHidden/>
              </w:rPr>
              <w:t>4</w:t>
            </w:r>
            <w:r>
              <w:rPr>
                <w:noProof/>
                <w:webHidden/>
              </w:rPr>
              <w:fldChar w:fldCharType="end"/>
            </w:r>
          </w:hyperlink>
        </w:p>
        <w:p w14:paraId="41EAB8F8" w14:textId="641A3D44" w:rsidR="00BB6B01" w:rsidRDefault="00BB6B01">
          <w:pPr>
            <w:pStyle w:val="TOC1"/>
            <w:tabs>
              <w:tab w:val="right" w:leader="dot" w:pos="10790"/>
            </w:tabs>
            <w:rPr>
              <w:rFonts w:eastAsiaTheme="minorEastAsia"/>
              <w:noProof/>
              <w:sz w:val="24"/>
              <w:szCs w:val="24"/>
            </w:rPr>
          </w:pPr>
          <w:hyperlink w:anchor="_Toc202350501" w:history="1">
            <w:r w:rsidRPr="00BD1186">
              <w:rPr>
                <w:rStyle w:val="Hyperlink"/>
                <w:noProof/>
              </w:rPr>
              <w:t>Figure S2. Systematic Literature Review</w:t>
            </w:r>
            <w:r>
              <w:rPr>
                <w:noProof/>
                <w:webHidden/>
              </w:rPr>
              <w:tab/>
            </w:r>
            <w:r>
              <w:rPr>
                <w:noProof/>
                <w:webHidden/>
              </w:rPr>
              <w:fldChar w:fldCharType="begin"/>
            </w:r>
            <w:r>
              <w:rPr>
                <w:noProof/>
                <w:webHidden/>
              </w:rPr>
              <w:instrText xml:space="preserve"> PAGEREF _Toc202350501 \h </w:instrText>
            </w:r>
            <w:r>
              <w:rPr>
                <w:noProof/>
                <w:webHidden/>
              </w:rPr>
            </w:r>
            <w:r>
              <w:rPr>
                <w:noProof/>
                <w:webHidden/>
              </w:rPr>
              <w:fldChar w:fldCharType="separate"/>
            </w:r>
            <w:r>
              <w:rPr>
                <w:noProof/>
                <w:webHidden/>
              </w:rPr>
              <w:t>6</w:t>
            </w:r>
            <w:r>
              <w:rPr>
                <w:noProof/>
                <w:webHidden/>
              </w:rPr>
              <w:fldChar w:fldCharType="end"/>
            </w:r>
          </w:hyperlink>
        </w:p>
        <w:p w14:paraId="64C6CE98" w14:textId="4BCA21A4" w:rsidR="00BB6B01" w:rsidRDefault="00BB6B01">
          <w:pPr>
            <w:pStyle w:val="TOC1"/>
            <w:tabs>
              <w:tab w:val="right" w:leader="dot" w:pos="10790"/>
            </w:tabs>
            <w:rPr>
              <w:rFonts w:eastAsiaTheme="minorEastAsia"/>
              <w:noProof/>
              <w:sz w:val="24"/>
              <w:szCs w:val="24"/>
            </w:rPr>
          </w:pPr>
          <w:hyperlink w:anchor="_Toc202350502" w:history="1">
            <w:r w:rsidRPr="00BD1186">
              <w:rPr>
                <w:rStyle w:val="Hyperlink"/>
                <w:noProof/>
              </w:rPr>
              <w:t xml:space="preserve">Table S1. </w:t>
            </w:r>
            <w:r w:rsidRPr="00BD1186">
              <w:rPr>
                <w:rStyle w:val="Hyperlink"/>
                <w:bCs/>
                <w:noProof/>
              </w:rPr>
              <w:t>Assignment of Allele Clinical Function and Strength of Evidence</w:t>
            </w:r>
            <w:r>
              <w:rPr>
                <w:noProof/>
                <w:webHidden/>
              </w:rPr>
              <w:tab/>
            </w:r>
            <w:r>
              <w:rPr>
                <w:noProof/>
                <w:webHidden/>
              </w:rPr>
              <w:fldChar w:fldCharType="begin"/>
            </w:r>
            <w:r>
              <w:rPr>
                <w:noProof/>
                <w:webHidden/>
              </w:rPr>
              <w:instrText xml:space="preserve"> PAGEREF _Toc202350502 \h </w:instrText>
            </w:r>
            <w:r>
              <w:rPr>
                <w:noProof/>
                <w:webHidden/>
              </w:rPr>
            </w:r>
            <w:r>
              <w:rPr>
                <w:noProof/>
                <w:webHidden/>
              </w:rPr>
              <w:fldChar w:fldCharType="separate"/>
            </w:r>
            <w:r>
              <w:rPr>
                <w:noProof/>
                <w:webHidden/>
              </w:rPr>
              <w:t>6</w:t>
            </w:r>
            <w:r>
              <w:rPr>
                <w:noProof/>
                <w:webHidden/>
              </w:rPr>
              <w:fldChar w:fldCharType="end"/>
            </w:r>
          </w:hyperlink>
        </w:p>
        <w:p w14:paraId="39F08884" w14:textId="1F24A8F9" w:rsidR="00BB6B01" w:rsidRDefault="00BB6B01">
          <w:pPr>
            <w:pStyle w:val="TOC1"/>
            <w:tabs>
              <w:tab w:val="right" w:leader="dot" w:pos="10790"/>
            </w:tabs>
            <w:rPr>
              <w:rFonts w:eastAsiaTheme="minorEastAsia"/>
              <w:noProof/>
              <w:sz w:val="24"/>
              <w:szCs w:val="24"/>
            </w:rPr>
          </w:pPr>
          <w:hyperlink w:anchor="_Toc202350503" w:history="1">
            <w:r w:rsidRPr="00BD1186">
              <w:rPr>
                <w:rStyle w:val="Hyperlink"/>
                <w:noProof/>
              </w:rPr>
              <w:t>Table S2. Functional Assignment to Alleles</w:t>
            </w:r>
            <w:r>
              <w:rPr>
                <w:noProof/>
                <w:webHidden/>
              </w:rPr>
              <w:tab/>
            </w:r>
            <w:r>
              <w:rPr>
                <w:noProof/>
                <w:webHidden/>
              </w:rPr>
              <w:fldChar w:fldCharType="begin"/>
            </w:r>
            <w:r>
              <w:rPr>
                <w:noProof/>
                <w:webHidden/>
              </w:rPr>
              <w:instrText xml:space="preserve"> PAGEREF _Toc202350503 \h </w:instrText>
            </w:r>
            <w:r>
              <w:rPr>
                <w:noProof/>
                <w:webHidden/>
              </w:rPr>
            </w:r>
            <w:r>
              <w:rPr>
                <w:noProof/>
                <w:webHidden/>
              </w:rPr>
              <w:fldChar w:fldCharType="separate"/>
            </w:r>
            <w:r>
              <w:rPr>
                <w:noProof/>
                <w:webHidden/>
              </w:rPr>
              <w:t>8</w:t>
            </w:r>
            <w:r>
              <w:rPr>
                <w:noProof/>
                <w:webHidden/>
              </w:rPr>
              <w:fldChar w:fldCharType="end"/>
            </w:r>
          </w:hyperlink>
        </w:p>
        <w:p w14:paraId="5BB20DFD" w14:textId="38BF44E1" w:rsidR="00BB6B01" w:rsidRDefault="00BB6B01">
          <w:pPr>
            <w:pStyle w:val="TOC1"/>
            <w:tabs>
              <w:tab w:val="right" w:leader="dot" w:pos="10790"/>
            </w:tabs>
            <w:rPr>
              <w:rFonts w:eastAsiaTheme="minorEastAsia"/>
              <w:noProof/>
              <w:sz w:val="24"/>
              <w:szCs w:val="24"/>
            </w:rPr>
          </w:pPr>
          <w:hyperlink w:anchor="_Toc202350504" w:history="1">
            <w:r w:rsidRPr="00BD1186">
              <w:rPr>
                <w:rStyle w:val="Hyperlink"/>
                <w:noProof/>
              </w:rPr>
              <w:t xml:space="preserve">Table S3. </w:t>
            </w:r>
            <w:r w:rsidRPr="00BD1186">
              <w:rPr>
                <w:rStyle w:val="Hyperlink"/>
                <w:i/>
                <w:iCs/>
                <w:noProof/>
              </w:rPr>
              <w:t>NAT2</w:t>
            </w:r>
            <w:r w:rsidRPr="00BD1186">
              <w:rPr>
                <w:rStyle w:val="Hyperlink"/>
                <w:noProof/>
              </w:rPr>
              <w:t xml:space="preserve"> Nomenclature Survey</w:t>
            </w:r>
            <w:r>
              <w:rPr>
                <w:noProof/>
                <w:webHidden/>
              </w:rPr>
              <w:tab/>
            </w:r>
            <w:r>
              <w:rPr>
                <w:noProof/>
                <w:webHidden/>
              </w:rPr>
              <w:fldChar w:fldCharType="begin"/>
            </w:r>
            <w:r>
              <w:rPr>
                <w:noProof/>
                <w:webHidden/>
              </w:rPr>
              <w:instrText xml:space="preserve"> PAGEREF _Toc202350504 \h </w:instrText>
            </w:r>
            <w:r>
              <w:rPr>
                <w:noProof/>
                <w:webHidden/>
              </w:rPr>
            </w:r>
            <w:r>
              <w:rPr>
                <w:noProof/>
                <w:webHidden/>
              </w:rPr>
              <w:fldChar w:fldCharType="separate"/>
            </w:r>
            <w:r>
              <w:rPr>
                <w:noProof/>
                <w:webHidden/>
              </w:rPr>
              <w:t>9</w:t>
            </w:r>
            <w:r>
              <w:rPr>
                <w:noProof/>
                <w:webHidden/>
              </w:rPr>
              <w:fldChar w:fldCharType="end"/>
            </w:r>
          </w:hyperlink>
        </w:p>
        <w:p w14:paraId="786E6F23" w14:textId="58CF7B2D" w:rsidR="00FE604C" w:rsidRDefault="00FE604C">
          <w:r>
            <w:rPr>
              <w:b/>
              <w:bCs/>
              <w:noProof/>
            </w:rPr>
            <w:fldChar w:fldCharType="end"/>
          </w:r>
        </w:p>
      </w:sdtContent>
    </w:sdt>
    <w:p w14:paraId="07736FE7" w14:textId="77777777" w:rsidR="00FE604C" w:rsidRDefault="00FE604C" w:rsidP="00FE604C">
      <w:pPr>
        <w:sectPr w:rsidR="00FE604C" w:rsidSect="008D0726">
          <w:pgSz w:w="12240" w:h="15840"/>
          <w:pgMar w:top="720" w:right="720" w:bottom="720" w:left="720" w:header="720" w:footer="720" w:gutter="0"/>
          <w:cols w:space="720"/>
          <w:docGrid w:linePitch="360"/>
        </w:sectPr>
      </w:pPr>
    </w:p>
    <w:p w14:paraId="6CA085F0" w14:textId="0BC076A5" w:rsidR="00903170" w:rsidRDefault="00903170" w:rsidP="0038454B">
      <w:pPr>
        <w:pStyle w:val="Heading1"/>
      </w:pPr>
      <w:bookmarkStart w:id="0" w:name="_Toc202350496"/>
      <w:r>
        <w:lastRenderedPageBreak/>
        <w:t>S</w:t>
      </w:r>
      <w:r w:rsidR="00532569">
        <w:t>u</w:t>
      </w:r>
      <w:r>
        <w:t>pplemental Methods</w:t>
      </w:r>
      <w:bookmarkEnd w:id="0"/>
    </w:p>
    <w:p w14:paraId="4F3716D7" w14:textId="45B5DB07" w:rsidR="000F48BE" w:rsidRDefault="0038454B" w:rsidP="00903170">
      <w:pPr>
        <w:pStyle w:val="Heading2"/>
      </w:pPr>
      <w:bookmarkStart w:id="1" w:name="_Toc202350497"/>
      <w:r>
        <w:t>Inclusion of Alleles</w:t>
      </w:r>
      <w:bookmarkEnd w:id="1"/>
    </w:p>
    <w:p w14:paraId="77039992" w14:textId="560B0EDD" w:rsidR="0038454B" w:rsidRDefault="0038454B" w:rsidP="0038454B">
      <w:pPr>
        <w:spacing w:line="360" w:lineRule="auto"/>
        <w:rPr>
          <w:sz w:val="24"/>
          <w:szCs w:val="24"/>
        </w:rPr>
      </w:pPr>
      <w:r w:rsidRPr="00F702DF">
        <w:rPr>
          <w:sz w:val="24"/>
          <w:szCs w:val="24"/>
        </w:rPr>
        <w:t xml:space="preserve">Prior to the transfer to PharmVar in March 2024, </w:t>
      </w:r>
      <w:r w:rsidRPr="00F702DF">
        <w:rPr>
          <w:i/>
          <w:iCs/>
          <w:sz w:val="24"/>
          <w:szCs w:val="24"/>
        </w:rPr>
        <w:t>NAT2</w:t>
      </w:r>
      <w:r w:rsidRPr="00F702DF">
        <w:rPr>
          <w:sz w:val="24"/>
          <w:szCs w:val="24"/>
        </w:rPr>
        <w:t xml:space="preserve"> gene nomenclature was maintained and updated by the </w:t>
      </w:r>
      <w:hyperlink r:id="rId6" w:history="1">
        <w:r w:rsidRPr="00F702DF">
          <w:rPr>
            <w:rStyle w:val="Hyperlink"/>
            <w:i/>
            <w:iCs/>
            <w:sz w:val="24"/>
            <w:szCs w:val="24"/>
          </w:rPr>
          <w:t>NAT</w:t>
        </w:r>
        <w:r w:rsidRPr="00F702DF">
          <w:rPr>
            <w:rStyle w:val="Hyperlink"/>
            <w:sz w:val="24"/>
            <w:szCs w:val="24"/>
          </w:rPr>
          <w:t xml:space="preserve"> Gene Nomenclature Committee</w:t>
        </w:r>
      </w:hyperlink>
      <w:r w:rsidRPr="00F702DF">
        <w:rPr>
          <w:sz w:val="24"/>
          <w:szCs w:val="24"/>
        </w:rPr>
        <w:t xml:space="preserve">. PharmVar utilizes NG_012246.1 </w:t>
      </w:r>
      <w:proofErr w:type="spellStart"/>
      <w:r w:rsidRPr="00F702DF">
        <w:rPr>
          <w:sz w:val="24"/>
          <w:szCs w:val="24"/>
        </w:rPr>
        <w:t>RefSeq</w:t>
      </w:r>
      <w:proofErr w:type="spellEnd"/>
      <w:r w:rsidRPr="00F702DF">
        <w:rPr>
          <w:sz w:val="24"/>
          <w:szCs w:val="24"/>
        </w:rPr>
        <w:t xml:space="preserve"> as the </w:t>
      </w:r>
      <w:r w:rsidRPr="00F702DF">
        <w:rPr>
          <w:i/>
          <w:iCs/>
          <w:sz w:val="24"/>
          <w:szCs w:val="24"/>
        </w:rPr>
        <w:t>NAT2</w:t>
      </w:r>
      <w:r w:rsidRPr="00F702DF">
        <w:rPr>
          <w:sz w:val="24"/>
          <w:szCs w:val="24"/>
        </w:rPr>
        <w:t xml:space="preserve"> reference sequence which corresponds to the legacy allele, </w:t>
      </w:r>
      <w:r w:rsidRPr="00F702DF">
        <w:rPr>
          <w:i/>
          <w:iCs/>
          <w:sz w:val="24"/>
          <w:szCs w:val="24"/>
        </w:rPr>
        <w:t>NAT2*12A</w:t>
      </w:r>
      <w:r w:rsidRPr="00F702DF">
        <w:rPr>
          <w:sz w:val="24"/>
          <w:szCs w:val="24"/>
        </w:rPr>
        <w:t xml:space="preserve">, now referred to as </w:t>
      </w:r>
      <w:r w:rsidRPr="00F702DF">
        <w:rPr>
          <w:i/>
          <w:iCs/>
          <w:sz w:val="24"/>
          <w:szCs w:val="24"/>
        </w:rPr>
        <w:t>NAT2*1</w:t>
      </w:r>
      <w:r w:rsidRPr="00F702DF">
        <w:rPr>
          <w:sz w:val="24"/>
          <w:szCs w:val="24"/>
        </w:rPr>
        <w:t xml:space="preserve">. </w:t>
      </w:r>
      <w:r w:rsidR="005F569E">
        <w:rPr>
          <w:sz w:val="24"/>
          <w:szCs w:val="24"/>
        </w:rPr>
        <w:t xml:space="preserve">The former reference sequence, </w:t>
      </w:r>
      <w:r w:rsidR="00304A42" w:rsidRPr="00F702DF">
        <w:rPr>
          <w:sz w:val="24"/>
          <w:szCs w:val="24"/>
        </w:rPr>
        <w:t>X14672.1</w:t>
      </w:r>
      <w:r w:rsidR="00304A42">
        <w:rPr>
          <w:sz w:val="24"/>
          <w:szCs w:val="24"/>
        </w:rPr>
        <w:t xml:space="preserve"> (</w:t>
      </w:r>
      <w:r w:rsidR="00242693">
        <w:rPr>
          <w:sz w:val="24"/>
          <w:szCs w:val="24"/>
        </w:rPr>
        <w:t xml:space="preserve">PMID: </w:t>
      </w:r>
      <w:r w:rsidR="00304A42" w:rsidRPr="00F702DF">
        <w:rPr>
          <w:sz w:val="24"/>
          <w:szCs w:val="24"/>
        </w:rPr>
        <w:t>7773298</w:t>
      </w:r>
      <w:r w:rsidR="00304A42">
        <w:rPr>
          <w:sz w:val="24"/>
          <w:szCs w:val="24"/>
        </w:rPr>
        <w:t>)</w:t>
      </w:r>
      <w:r w:rsidR="00304A42" w:rsidRPr="00F702DF">
        <w:rPr>
          <w:sz w:val="24"/>
          <w:szCs w:val="24"/>
        </w:rPr>
        <w:t>,</w:t>
      </w:r>
      <w:r w:rsidR="00304A42">
        <w:rPr>
          <w:sz w:val="24"/>
          <w:szCs w:val="24"/>
        </w:rPr>
        <w:t xml:space="preserve"> differ</w:t>
      </w:r>
      <w:r w:rsidR="00C166CF">
        <w:rPr>
          <w:sz w:val="24"/>
          <w:szCs w:val="24"/>
        </w:rPr>
        <w:t>s</w:t>
      </w:r>
      <w:r w:rsidR="00304A42">
        <w:rPr>
          <w:sz w:val="24"/>
          <w:szCs w:val="24"/>
        </w:rPr>
        <w:t xml:space="preserve"> from </w:t>
      </w:r>
      <w:r w:rsidR="00304A42" w:rsidRPr="00F702DF">
        <w:rPr>
          <w:sz w:val="24"/>
          <w:szCs w:val="24"/>
        </w:rPr>
        <w:t>NG_012246.1</w:t>
      </w:r>
      <w:r w:rsidR="00304A42">
        <w:rPr>
          <w:sz w:val="24"/>
          <w:szCs w:val="24"/>
        </w:rPr>
        <w:t xml:space="preserve"> at coding pos</w:t>
      </w:r>
      <w:r w:rsidR="00C6517A">
        <w:rPr>
          <w:sz w:val="24"/>
          <w:szCs w:val="24"/>
        </w:rPr>
        <w:t>ition c.803</w:t>
      </w:r>
      <w:r w:rsidR="00C166CF">
        <w:rPr>
          <w:sz w:val="24"/>
          <w:szCs w:val="24"/>
        </w:rPr>
        <w:t>;</w:t>
      </w:r>
      <w:r w:rsidR="00C6517A">
        <w:rPr>
          <w:sz w:val="24"/>
          <w:szCs w:val="24"/>
        </w:rPr>
        <w:t xml:space="preserve"> where </w:t>
      </w:r>
      <w:r w:rsidR="00C6517A" w:rsidRPr="00F702DF">
        <w:rPr>
          <w:sz w:val="24"/>
          <w:szCs w:val="24"/>
        </w:rPr>
        <w:t>X14672.1</w:t>
      </w:r>
      <w:r w:rsidR="00DD4C45">
        <w:rPr>
          <w:sz w:val="24"/>
          <w:szCs w:val="24"/>
        </w:rPr>
        <w:t xml:space="preserve"> has “A”, </w:t>
      </w:r>
      <w:r w:rsidR="00DD4C45" w:rsidRPr="00F702DF">
        <w:rPr>
          <w:sz w:val="24"/>
          <w:szCs w:val="24"/>
        </w:rPr>
        <w:t>NG_012246.1</w:t>
      </w:r>
      <w:r w:rsidR="00DD4C45">
        <w:rPr>
          <w:sz w:val="24"/>
          <w:szCs w:val="24"/>
        </w:rPr>
        <w:t xml:space="preserve"> has “G”. This change caused</w:t>
      </w:r>
      <w:r w:rsidR="00F24B5F">
        <w:rPr>
          <w:sz w:val="24"/>
          <w:szCs w:val="24"/>
        </w:rPr>
        <w:t xml:space="preserve"> variant switching to occur for several </w:t>
      </w:r>
      <w:r w:rsidR="00F24B5F" w:rsidRPr="00F24B5F">
        <w:rPr>
          <w:i/>
          <w:iCs/>
          <w:sz w:val="24"/>
          <w:szCs w:val="24"/>
        </w:rPr>
        <w:t>NAT2</w:t>
      </w:r>
      <w:r w:rsidR="00F24B5F">
        <w:rPr>
          <w:sz w:val="24"/>
          <w:szCs w:val="24"/>
        </w:rPr>
        <w:t xml:space="preserve"> alleles and altered their allele definitions.</w:t>
      </w:r>
      <w:r w:rsidR="00EF706D">
        <w:rPr>
          <w:sz w:val="24"/>
          <w:szCs w:val="24"/>
        </w:rPr>
        <w:t xml:space="preserve"> A</w:t>
      </w:r>
      <w:r w:rsidRPr="00F702DF">
        <w:rPr>
          <w:sz w:val="24"/>
          <w:szCs w:val="24"/>
        </w:rPr>
        <w:t xml:space="preserve">ll </w:t>
      </w:r>
      <w:r w:rsidRPr="00F702DF">
        <w:rPr>
          <w:i/>
          <w:iCs/>
          <w:sz w:val="24"/>
          <w:szCs w:val="24"/>
        </w:rPr>
        <w:t>NAT2</w:t>
      </w:r>
      <w:r w:rsidRPr="00F702DF">
        <w:rPr>
          <w:sz w:val="24"/>
          <w:szCs w:val="24"/>
        </w:rPr>
        <w:t xml:space="preserve"> alleles within PharmVar are defined by core SNVs, with sub-alleles containing additional variants that do not alter protein function. In this regard, historical </w:t>
      </w:r>
      <w:r w:rsidRPr="00F702DF">
        <w:rPr>
          <w:i/>
          <w:iCs/>
          <w:sz w:val="24"/>
          <w:szCs w:val="24"/>
        </w:rPr>
        <w:t xml:space="preserve">NAT2 </w:t>
      </w:r>
      <w:r w:rsidRPr="00F702DF">
        <w:rPr>
          <w:sz w:val="24"/>
          <w:szCs w:val="24"/>
        </w:rPr>
        <w:t xml:space="preserve">sub-families have been </w:t>
      </w:r>
      <w:r w:rsidR="00D80D19">
        <w:rPr>
          <w:sz w:val="24"/>
          <w:szCs w:val="24"/>
        </w:rPr>
        <w:t>reclassified</w:t>
      </w:r>
      <w:r w:rsidRPr="00F702DF">
        <w:rPr>
          <w:sz w:val="24"/>
          <w:szCs w:val="24"/>
        </w:rPr>
        <w:t xml:space="preserve"> to </w:t>
      </w:r>
      <w:r w:rsidR="005F2F85">
        <w:rPr>
          <w:sz w:val="24"/>
          <w:szCs w:val="24"/>
        </w:rPr>
        <w:t xml:space="preserve">better align with </w:t>
      </w:r>
      <w:r w:rsidR="005F2F85" w:rsidRPr="00F702DF">
        <w:rPr>
          <w:sz w:val="24"/>
          <w:szCs w:val="24"/>
        </w:rPr>
        <w:t>the star allele nomenclature</w:t>
      </w:r>
      <w:r w:rsidRPr="00F702DF">
        <w:rPr>
          <w:sz w:val="24"/>
          <w:szCs w:val="24"/>
        </w:rPr>
        <w:t xml:space="preserve"> </w:t>
      </w:r>
      <w:r w:rsidR="00EF706D">
        <w:rPr>
          <w:sz w:val="24"/>
          <w:szCs w:val="24"/>
        </w:rPr>
        <w:t>(</w:t>
      </w:r>
      <w:r w:rsidRPr="00F702DF">
        <w:rPr>
          <w:sz w:val="24"/>
          <w:szCs w:val="24"/>
        </w:rPr>
        <w:t>i.e.</w:t>
      </w:r>
      <w:r w:rsidR="00EF706D">
        <w:rPr>
          <w:sz w:val="24"/>
          <w:szCs w:val="24"/>
        </w:rPr>
        <w:t>,</w:t>
      </w:r>
      <w:r w:rsidRPr="00F702DF">
        <w:rPr>
          <w:sz w:val="24"/>
          <w:szCs w:val="24"/>
        </w:rPr>
        <w:t xml:space="preserve"> </w:t>
      </w:r>
      <w:r w:rsidRPr="00F702DF">
        <w:rPr>
          <w:i/>
          <w:iCs/>
          <w:sz w:val="24"/>
          <w:szCs w:val="24"/>
        </w:rPr>
        <w:t>NAT2*5A</w:t>
      </w:r>
      <w:r w:rsidRPr="00F702DF">
        <w:rPr>
          <w:sz w:val="24"/>
          <w:szCs w:val="24"/>
        </w:rPr>
        <w:t xml:space="preserve"> and </w:t>
      </w:r>
      <w:r w:rsidRPr="00F702DF">
        <w:rPr>
          <w:i/>
          <w:iCs/>
          <w:sz w:val="24"/>
          <w:szCs w:val="24"/>
        </w:rPr>
        <w:t>*5D</w:t>
      </w:r>
      <w:r w:rsidRPr="00F702DF">
        <w:rPr>
          <w:sz w:val="24"/>
          <w:szCs w:val="24"/>
        </w:rPr>
        <w:t xml:space="preserve"> are now </w:t>
      </w:r>
      <w:r w:rsidRPr="00F702DF">
        <w:rPr>
          <w:i/>
          <w:iCs/>
          <w:sz w:val="24"/>
          <w:szCs w:val="24"/>
        </w:rPr>
        <w:t>NAT2*16</w:t>
      </w:r>
      <w:r w:rsidR="00EF706D">
        <w:rPr>
          <w:sz w:val="24"/>
          <w:szCs w:val="24"/>
        </w:rPr>
        <w:t>)</w:t>
      </w:r>
      <w:r w:rsidRPr="00F702DF">
        <w:rPr>
          <w:sz w:val="24"/>
          <w:szCs w:val="24"/>
        </w:rPr>
        <w:t xml:space="preserve">. Similarly, alleles which are characterized by multiple functional SNVs have been given new star allele designations to account for potentially unique functions arising from the combinations of multiple variants within the same allele. For example, </w:t>
      </w:r>
      <w:r w:rsidRPr="00F702DF">
        <w:rPr>
          <w:i/>
          <w:iCs/>
          <w:sz w:val="24"/>
          <w:szCs w:val="24"/>
        </w:rPr>
        <w:t>NAT2*30</w:t>
      </w:r>
      <w:r w:rsidRPr="00F702DF">
        <w:rPr>
          <w:sz w:val="24"/>
          <w:szCs w:val="24"/>
        </w:rPr>
        <w:t xml:space="preserve"> (formerly </w:t>
      </w:r>
      <w:r w:rsidRPr="00F702DF">
        <w:rPr>
          <w:i/>
          <w:iCs/>
          <w:sz w:val="24"/>
          <w:szCs w:val="24"/>
        </w:rPr>
        <w:t>NAT2*5E</w:t>
      </w:r>
      <w:r w:rsidRPr="00F702DF">
        <w:rPr>
          <w:sz w:val="24"/>
          <w:szCs w:val="24"/>
        </w:rPr>
        <w:t xml:space="preserve">) is characterized by c.341T&gt;C (p.I114T), c.590G&gt;A (p.R197Q), and c.803G&gt;A (p.R268K). The migration of </w:t>
      </w:r>
      <w:r w:rsidRPr="00F702DF">
        <w:rPr>
          <w:i/>
          <w:iCs/>
          <w:sz w:val="24"/>
          <w:szCs w:val="24"/>
        </w:rPr>
        <w:t xml:space="preserve">NAT2 </w:t>
      </w:r>
      <w:r w:rsidRPr="00F702DF">
        <w:rPr>
          <w:sz w:val="24"/>
          <w:szCs w:val="24"/>
        </w:rPr>
        <w:t xml:space="preserve">allele nomenclature to PharmVar </w:t>
      </w:r>
      <w:r w:rsidR="00734484">
        <w:rPr>
          <w:sz w:val="24"/>
          <w:szCs w:val="24"/>
        </w:rPr>
        <w:t>aids in the</w:t>
      </w:r>
      <w:r w:rsidRPr="00F702DF">
        <w:rPr>
          <w:sz w:val="24"/>
          <w:szCs w:val="24"/>
        </w:rPr>
        <w:t xml:space="preserve"> standardization of allele functional terms and diplotype-to-phenotype assignments  that will ultimately </w:t>
      </w:r>
      <w:r w:rsidR="001E6EFD">
        <w:rPr>
          <w:sz w:val="24"/>
          <w:szCs w:val="24"/>
        </w:rPr>
        <w:t>enhance</w:t>
      </w:r>
      <w:r w:rsidRPr="00F702DF">
        <w:rPr>
          <w:sz w:val="24"/>
          <w:szCs w:val="24"/>
        </w:rPr>
        <w:t xml:space="preserve"> the clinical implementation of </w:t>
      </w:r>
      <w:r w:rsidRPr="00F702DF">
        <w:rPr>
          <w:i/>
          <w:iCs/>
          <w:sz w:val="24"/>
          <w:szCs w:val="24"/>
        </w:rPr>
        <w:t>NAT2</w:t>
      </w:r>
      <w:r w:rsidRPr="00F702DF">
        <w:rPr>
          <w:sz w:val="24"/>
          <w:szCs w:val="24"/>
        </w:rPr>
        <w:t xml:space="preserve"> pharmacogenetic test results.</w:t>
      </w:r>
    </w:p>
    <w:p w14:paraId="4341A258" w14:textId="77777777" w:rsidR="00903170" w:rsidRDefault="00903170" w:rsidP="00903170">
      <w:pPr>
        <w:pStyle w:val="Heading2"/>
      </w:pPr>
      <w:bookmarkStart w:id="2" w:name="_Toc202350498"/>
      <w:r>
        <w:t>Evaluation of Evidence</w:t>
      </w:r>
      <w:bookmarkEnd w:id="2"/>
    </w:p>
    <w:p w14:paraId="47FDF1BF" w14:textId="228DC1F6" w:rsidR="00903170" w:rsidRPr="00F702DF" w:rsidRDefault="00903170" w:rsidP="00903170">
      <w:pPr>
        <w:spacing w:before="240" w:after="80" w:line="360" w:lineRule="auto"/>
        <w:rPr>
          <w:sz w:val="24"/>
          <w:szCs w:val="24"/>
        </w:rPr>
      </w:pPr>
      <w:r w:rsidRPr="00F702DF">
        <w:rPr>
          <w:sz w:val="24"/>
          <w:szCs w:val="24"/>
        </w:rPr>
        <w:t xml:space="preserve">The </w:t>
      </w:r>
      <w:r w:rsidRPr="00F702DF">
        <w:rPr>
          <w:i/>
          <w:iCs/>
          <w:sz w:val="24"/>
          <w:szCs w:val="24"/>
        </w:rPr>
        <w:t>NAT2</w:t>
      </w:r>
      <w:r w:rsidRPr="00F702DF">
        <w:rPr>
          <w:sz w:val="24"/>
          <w:szCs w:val="24"/>
        </w:rPr>
        <w:t xml:space="preserve"> PCEP primarily utilized two types of evidence: </w:t>
      </w:r>
      <w:r w:rsidRPr="00F702DF">
        <w:rPr>
          <w:i/>
          <w:iCs/>
          <w:sz w:val="24"/>
          <w:szCs w:val="24"/>
        </w:rPr>
        <w:t xml:space="preserve">in vitro </w:t>
      </w:r>
      <w:r w:rsidRPr="00F702DF">
        <w:rPr>
          <w:sz w:val="24"/>
          <w:szCs w:val="24"/>
        </w:rPr>
        <w:t xml:space="preserve">studies of NAT2 enzymatic activity and clinical genotype-to-phenotype concordance studies. </w:t>
      </w:r>
      <w:r w:rsidRPr="00F702DF">
        <w:rPr>
          <w:i/>
          <w:iCs/>
          <w:sz w:val="24"/>
          <w:szCs w:val="24"/>
        </w:rPr>
        <w:t xml:space="preserve">In vitro </w:t>
      </w:r>
      <w:r w:rsidRPr="00F702DF">
        <w:rPr>
          <w:sz w:val="24"/>
          <w:szCs w:val="24"/>
        </w:rPr>
        <w:t xml:space="preserve">studies assess </w:t>
      </w:r>
      <w:r w:rsidRPr="00345792">
        <w:rPr>
          <w:i/>
          <w:iCs/>
          <w:sz w:val="24"/>
          <w:szCs w:val="24"/>
        </w:rPr>
        <w:t>NAT2</w:t>
      </w:r>
      <w:r w:rsidRPr="00F702DF">
        <w:rPr>
          <w:sz w:val="24"/>
          <w:szCs w:val="24"/>
        </w:rPr>
        <w:t xml:space="preserve"> allele function through exogenous expression of variants in a variety of cell systems, including bacterial, yeast, and mammalian cells. Enzymatic activity is measured using cellular lysates or purified protein incubated with co-factors (i.e. acetyl-CoA) and substrates of interest. Sulfamethazine, 2-aminofluorene, 4-aminobiphenyl, and procainamide are commonly used as substrates for </w:t>
      </w:r>
      <w:r w:rsidRPr="00F702DF">
        <w:rPr>
          <w:i/>
          <w:iCs/>
          <w:sz w:val="24"/>
          <w:szCs w:val="24"/>
        </w:rPr>
        <w:t xml:space="preserve">in vitro </w:t>
      </w:r>
      <w:r w:rsidRPr="00F702DF">
        <w:rPr>
          <w:sz w:val="24"/>
          <w:szCs w:val="24"/>
        </w:rPr>
        <w:t xml:space="preserve">reactions (7669073, 8081359, 11337936, 15564878, 17264801, 17434923, 28523442, 33815485). Typically, </w:t>
      </w:r>
      <w:r w:rsidRPr="00F702DF">
        <w:rPr>
          <w:i/>
          <w:iCs/>
          <w:sz w:val="24"/>
          <w:szCs w:val="24"/>
        </w:rPr>
        <w:t xml:space="preserve">in vitro </w:t>
      </w:r>
      <w:r w:rsidRPr="00F702DF">
        <w:rPr>
          <w:sz w:val="24"/>
          <w:szCs w:val="24"/>
        </w:rPr>
        <w:t xml:space="preserve">studies assess the function of individual SNVs, although some studies express full haplotypes containing multiple SNVs. </w:t>
      </w:r>
    </w:p>
    <w:p w14:paraId="05E64114" w14:textId="77777777" w:rsidR="006636BE" w:rsidRDefault="00903170" w:rsidP="006636BE">
      <w:pPr>
        <w:spacing w:before="240" w:after="80" w:line="360" w:lineRule="auto"/>
        <w:rPr>
          <w:sz w:val="24"/>
          <w:szCs w:val="24"/>
        </w:rPr>
      </w:pPr>
      <w:r w:rsidRPr="00F702DF">
        <w:rPr>
          <w:sz w:val="24"/>
          <w:szCs w:val="24"/>
        </w:rPr>
        <w:t xml:space="preserve">NAT2 phenotyping is often </w:t>
      </w:r>
      <w:r>
        <w:rPr>
          <w:sz w:val="24"/>
          <w:szCs w:val="24"/>
        </w:rPr>
        <w:t>conducted</w:t>
      </w:r>
      <w:r w:rsidRPr="00F702DF">
        <w:rPr>
          <w:sz w:val="24"/>
          <w:szCs w:val="24"/>
        </w:rPr>
        <w:t xml:space="preserve"> using caffeine or sulfonamides (including sulfamethazine, sulfasalazine, and dapsone) as probe drugs. Within the caffeine metabolic pathway, NAT2 N-acetylates paraxanthine (1,7-Dimethylxanthine) to produce 5-acetylamino-6-formylamino-3-methyluracil (AFMU). Thus, phenotyping studies using caffeine commonly measure urinary or plasma concentrations of AFMU, 1-methylxanthine (1X), and 1-methyluric acid (1U) to determine NAT2 activity, in which activity is reported </w:t>
      </w:r>
      <w:r w:rsidRPr="00F702DF">
        <w:rPr>
          <w:sz w:val="24"/>
          <w:szCs w:val="24"/>
        </w:rPr>
        <w:lastRenderedPageBreak/>
        <w:t>as the ratio of these metabolites (most often either AFMU/1X or AFMU/AFMU+1X+1U, though other variations exist). Despite its widespread use as a probe drug in early clinical studies, caffeine is a suboptimal substrate for assessing NAT2 acetylation activity as caffeine is metabolized by several enzymes, including many members of the cytochrome P450 family, which are also highly polymorphic (17221922, 22293536). The use of sulfonamides as probe drugs allows for more accurate determination of NAT2 acetylation activity as NAT2 directly acetylates these compounds and activity can be measured using the ratio of acetylated substrate to parent compound in urine or plasma. More specifically, derivatives of sulfasalazine are acetylated by both NAT1 and NAT2</w:t>
      </w:r>
      <w:r>
        <w:rPr>
          <w:sz w:val="24"/>
          <w:szCs w:val="24"/>
        </w:rPr>
        <w:t>;</w:t>
      </w:r>
      <w:r w:rsidRPr="00F702DF">
        <w:rPr>
          <w:sz w:val="24"/>
          <w:szCs w:val="24"/>
        </w:rPr>
        <w:t xml:space="preserve"> however</w:t>
      </w:r>
      <w:r>
        <w:rPr>
          <w:sz w:val="24"/>
          <w:szCs w:val="24"/>
        </w:rPr>
        <w:t>,</w:t>
      </w:r>
      <w:r w:rsidRPr="00F702DF">
        <w:rPr>
          <w:sz w:val="24"/>
          <w:szCs w:val="24"/>
        </w:rPr>
        <w:t xml:space="preserve"> sulfamethazine is selective for NAT2 (24892773), making sulfamethazine a better option for phenotyping studies among this group of compounds. Additional publications assess NAT2 phenotype using more medically relevant substrates, such as isoniazid or hydralazine.</w:t>
      </w:r>
    </w:p>
    <w:p w14:paraId="51BD2E6A" w14:textId="56C95C49" w:rsidR="00E71AB0" w:rsidRPr="006636BE" w:rsidRDefault="00E71AB0" w:rsidP="006636BE">
      <w:pPr>
        <w:pStyle w:val="Heading1"/>
        <w:rPr>
          <w:szCs w:val="24"/>
        </w:rPr>
      </w:pPr>
      <w:bookmarkStart w:id="3" w:name="_Toc202350499"/>
      <w:r>
        <w:t>Allele Frequency</w:t>
      </w:r>
      <w:bookmarkEnd w:id="3"/>
    </w:p>
    <w:p w14:paraId="6B68B7C0" w14:textId="1CD1DFAE" w:rsidR="00E71AB0" w:rsidRPr="00F702DF" w:rsidRDefault="00E71AB0" w:rsidP="00E71AB0">
      <w:pPr>
        <w:spacing w:before="240" w:after="80" w:line="360" w:lineRule="auto"/>
        <w:rPr>
          <w:sz w:val="24"/>
          <w:szCs w:val="24"/>
        </w:rPr>
      </w:pPr>
      <w:r w:rsidRPr="00F702DF">
        <w:rPr>
          <w:sz w:val="24"/>
          <w:szCs w:val="24"/>
        </w:rPr>
        <w:t xml:space="preserve">The most common </w:t>
      </w:r>
      <w:r w:rsidRPr="00F702DF">
        <w:rPr>
          <w:i/>
          <w:iCs/>
          <w:sz w:val="24"/>
          <w:szCs w:val="24"/>
        </w:rPr>
        <w:t>NAT2</w:t>
      </w:r>
      <w:r w:rsidRPr="00F702DF">
        <w:rPr>
          <w:sz w:val="24"/>
          <w:szCs w:val="24"/>
        </w:rPr>
        <w:t xml:space="preserve"> variant alleles are </w:t>
      </w:r>
      <w:r w:rsidRPr="00F702DF">
        <w:rPr>
          <w:i/>
          <w:iCs/>
          <w:sz w:val="24"/>
          <w:szCs w:val="24"/>
        </w:rPr>
        <w:t xml:space="preserve">NAT2*4, NAT2*5, NAT2*6, NAT2*7, and NAT2*14 </w:t>
      </w:r>
      <w:r w:rsidR="007300B6">
        <w:rPr>
          <w:sz w:val="24"/>
          <w:szCs w:val="24"/>
        </w:rPr>
        <w:t>[</w:t>
      </w:r>
      <w:r w:rsidRPr="007300B6">
        <w:rPr>
          <w:color w:val="0070C0"/>
          <w:sz w:val="24"/>
          <w:szCs w:val="24"/>
        </w:rPr>
        <w:t>Ref frequency table</w:t>
      </w:r>
      <w:r w:rsidR="007300B6">
        <w:rPr>
          <w:sz w:val="24"/>
          <w:szCs w:val="24"/>
        </w:rPr>
        <w:t>]</w:t>
      </w:r>
      <w:r w:rsidRPr="00F702DF">
        <w:rPr>
          <w:i/>
          <w:iCs/>
          <w:sz w:val="24"/>
          <w:szCs w:val="24"/>
        </w:rPr>
        <w:t xml:space="preserve">. </w:t>
      </w:r>
      <w:r w:rsidRPr="00F702DF">
        <w:rPr>
          <w:sz w:val="24"/>
          <w:szCs w:val="24"/>
        </w:rPr>
        <w:t xml:space="preserve">However, the frequency of </w:t>
      </w:r>
      <w:r w:rsidRPr="00F702DF">
        <w:rPr>
          <w:i/>
          <w:iCs/>
          <w:sz w:val="24"/>
          <w:szCs w:val="24"/>
        </w:rPr>
        <w:t>NAT2</w:t>
      </w:r>
      <w:r w:rsidRPr="00F702DF">
        <w:rPr>
          <w:sz w:val="24"/>
          <w:szCs w:val="24"/>
        </w:rPr>
        <w:t xml:space="preserve"> variant alleles varies widely by population (21494681, 37023111). </w:t>
      </w:r>
      <w:r w:rsidR="00CE2D88">
        <w:rPr>
          <w:sz w:val="24"/>
          <w:szCs w:val="24"/>
        </w:rPr>
        <w:t xml:space="preserve">While all populations exhibit a bimodal distribution of NAT2 phenotype, the </w:t>
      </w:r>
      <w:r w:rsidR="00FE11CF">
        <w:rPr>
          <w:sz w:val="24"/>
          <w:szCs w:val="24"/>
        </w:rPr>
        <w:t>ratio</w:t>
      </w:r>
      <w:r w:rsidR="00CE2D88">
        <w:rPr>
          <w:sz w:val="24"/>
          <w:szCs w:val="24"/>
        </w:rPr>
        <w:t xml:space="preserve"> of </w:t>
      </w:r>
      <w:r w:rsidR="00FE11CF">
        <w:rPr>
          <w:sz w:val="24"/>
          <w:szCs w:val="24"/>
        </w:rPr>
        <w:t xml:space="preserve">rapid to poor metabolizers varies by region. </w:t>
      </w:r>
      <w:proofErr w:type="gramStart"/>
      <w:r w:rsidR="008259D4">
        <w:rPr>
          <w:sz w:val="24"/>
          <w:szCs w:val="24"/>
        </w:rPr>
        <w:t>The majority of</w:t>
      </w:r>
      <w:proofErr w:type="gramEnd"/>
      <w:r w:rsidR="008259D4">
        <w:rPr>
          <w:sz w:val="24"/>
          <w:szCs w:val="24"/>
        </w:rPr>
        <w:t xml:space="preserve"> individuals in Asian populations are phenotypically rapid metabolizers</w:t>
      </w:r>
      <w:r w:rsidR="0059544F">
        <w:rPr>
          <w:sz w:val="24"/>
          <w:szCs w:val="24"/>
        </w:rPr>
        <w:t>, while</w:t>
      </w:r>
      <w:r w:rsidR="00F20BDE">
        <w:rPr>
          <w:sz w:val="24"/>
          <w:szCs w:val="24"/>
        </w:rPr>
        <w:t xml:space="preserve"> </w:t>
      </w:r>
      <w:r w:rsidRPr="00F702DF">
        <w:rPr>
          <w:sz w:val="24"/>
          <w:szCs w:val="24"/>
        </w:rPr>
        <w:t xml:space="preserve">Europe, Africa and the Middle East have a higher prevalence of poor metabolizers (37023111). Genotypically, the </w:t>
      </w:r>
      <w:r w:rsidRPr="00F702DF">
        <w:rPr>
          <w:i/>
          <w:iCs/>
          <w:sz w:val="24"/>
          <w:szCs w:val="24"/>
        </w:rPr>
        <w:t>NAT2</w:t>
      </w:r>
      <w:r w:rsidRPr="00F702DF">
        <w:rPr>
          <w:sz w:val="24"/>
          <w:szCs w:val="24"/>
        </w:rPr>
        <w:t xml:space="preserve"> SNVs c.191G&gt;A, c.341T&gt;C, c.590G&gt;A, and c.857G&gt;A account for a large proportion of decreased function alleles </w:t>
      </w:r>
      <w:r w:rsidR="007300B6">
        <w:rPr>
          <w:sz w:val="24"/>
          <w:szCs w:val="24"/>
        </w:rPr>
        <w:t>[</w:t>
      </w:r>
      <w:r w:rsidRPr="007300B6">
        <w:rPr>
          <w:color w:val="0070C0"/>
          <w:sz w:val="24"/>
          <w:szCs w:val="24"/>
        </w:rPr>
        <w:t xml:space="preserve">Ref </w:t>
      </w:r>
      <w:r w:rsidR="007300B6" w:rsidRPr="007300B6">
        <w:rPr>
          <w:color w:val="0070C0"/>
          <w:sz w:val="24"/>
          <w:szCs w:val="24"/>
        </w:rPr>
        <w:t>allele functionality table</w:t>
      </w:r>
      <w:r w:rsidR="007300B6" w:rsidRPr="007300B6">
        <w:rPr>
          <w:sz w:val="24"/>
          <w:szCs w:val="24"/>
        </w:rPr>
        <w:t>]</w:t>
      </w:r>
      <w:r w:rsidRPr="00F702DF">
        <w:rPr>
          <w:sz w:val="24"/>
          <w:szCs w:val="24"/>
        </w:rPr>
        <w:t xml:space="preserve"> and each contributes to the prevalence of poor metabolizers in different populations worldwide. Specifically, c.191G&gt;A is present in 10% of African and American populations, but is very rare in Asian and European populations; c.341T&gt;C is present in 50% of Europeans and c.857G&gt;A is present in 20% of individuals with East Asian ancestry (33094670); c.590G&gt;A is most common in European populations, but is also prevalent in the Americas and Asia (37023111). Collectively, the global distribution of </w:t>
      </w:r>
      <w:r w:rsidRPr="00F702DF">
        <w:rPr>
          <w:i/>
          <w:iCs/>
          <w:sz w:val="24"/>
          <w:szCs w:val="24"/>
        </w:rPr>
        <w:t xml:space="preserve">NAT2 </w:t>
      </w:r>
      <w:r w:rsidRPr="00F702DF">
        <w:rPr>
          <w:sz w:val="24"/>
          <w:szCs w:val="24"/>
        </w:rPr>
        <w:t xml:space="preserve">variant alleles highlights the contribution of </w:t>
      </w:r>
      <w:r w:rsidRPr="00F702DF">
        <w:rPr>
          <w:i/>
          <w:iCs/>
          <w:sz w:val="24"/>
          <w:szCs w:val="24"/>
        </w:rPr>
        <w:t>NAT2</w:t>
      </w:r>
      <w:r w:rsidRPr="00F702DF">
        <w:rPr>
          <w:sz w:val="24"/>
          <w:szCs w:val="24"/>
        </w:rPr>
        <w:t xml:space="preserve"> polymorphisms to the distribution of NAT2 phenotypes observed in different populations.</w:t>
      </w:r>
    </w:p>
    <w:p w14:paraId="717199F7" w14:textId="77777777" w:rsidR="00532569" w:rsidRDefault="00532569" w:rsidP="00532569">
      <w:pPr>
        <w:pStyle w:val="Heading1"/>
      </w:pPr>
      <w:bookmarkStart w:id="4" w:name="_Toc202350500"/>
      <w:r>
        <w:lastRenderedPageBreak/>
        <w:t xml:space="preserve">Figure S1. </w:t>
      </w:r>
      <w:r w:rsidRPr="003E6E24">
        <w:rPr>
          <w:i/>
          <w:iCs/>
        </w:rPr>
        <w:t>NAT2</w:t>
      </w:r>
      <w:r>
        <w:t xml:space="preserve"> Allele Nomenclature Survey Process and </w:t>
      </w:r>
      <w:commentRangeStart w:id="5"/>
      <w:commentRangeStart w:id="6"/>
      <w:r>
        <w:t>Results</w:t>
      </w:r>
      <w:commentRangeEnd w:id="5"/>
      <w:r>
        <w:rPr>
          <w:rStyle w:val="CommentReference"/>
          <w:rFonts w:asciiTheme="minorHAnsi" w:eastAsiaTheme="minorHAnsi" w:hAnsiTheme="minorHAnsi" w:cstheme="minorBidi"/>
          <w:b w:val="0"/>
          <w:caps w:val="0"/>
        </w:rPr>
        <w:commentReference w:id="5"/>
      </w:r>
      <w:commentRangeEnd w:id="6"/>
      <w:r>
        <w:rPr>
          <w:rStyle w:val="CommentReference"/>
          <w:rFonts w:asciiTheme="minorHAnsi" w:eastAsiaTheme="minorHAnsi" w:hAnsiTheme="minorHAnsi" w:cstheme="minorBidi"/>
          <w:b w:val="0"/>
          <w:caps w:val="0"/>
        </w:rPr>
        <w:commentReference w:id="6"/>
      </w:r>
      <w:bookmarkEnd w:id="4"/>
    </w:p>
    <w:p w14:paraId="2E2C8CDF" w14:textId="77777777" w:rsidR="00532569" w:rsidRDefault="00532569" w:rsidP="00532569">
      <w:r w:rsidRPr="00C55F11">
        <w:rPr>
          <w:b/>
          <w:bCs/>
        </w:rPr>
        <w:t>(A)</w:t>
      </w:r>
      <w:r w:rsidRPr="00C55F11">
        <w:rPr>
          <w:b/>
          <w:bCs/>
          <w:noProof/>
        </w:rPr>
        <w:drawing>
          <wp:inline distT="0" distB="0" distL="0" distR="0" wp14:anchorId="5FE85CB8" wp14:editId="7039DED3">
            <wp:extent cx="6858000" cy="3716020"/>
            <wp:effectExtent l="0" t="0" r="0" b="0"/>
            <wp:docPr id="1548250790" name="Picture 3" descr="A diagram of a survey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50790" name="Picture 3" descr="A diagram of a survey proces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3716020"/>
                    </a:xfrm>
                    <a:prstGeom prst="rect">
                      <a:avLst/>
                    </a:prstGeom>
                  </pic:spPr>
                </pic:pic>
              </a:graphicData>
            </a:graphic>
          </wp:inline>
        </w:drawing>
      </w:r>
      <w:r>
        <w:t xml:space="preserve"> </w:t>
      </w:r>
      <w:r w:rsidRPr="00C55F11">
        <w:rPr>
          <w:b/>
          <w:bCs/>
        </w:rPr>
        <w:t>(B)</w:t>
      </w:r>
    </w:p>
    <w:p w14:paraId="7E250F77" w14:textId="77777777" w:rsidR="00532569" w:rsidRDefault="00532569" w:rsidP="00532569">
      <w:r>
        <w:rPr>
          <w:noProof/>
        </w:rPr>
        <w:drawing>
          <wp:inline distT="0" distB="0" distL="0" distR="0" wp14:anchorId="772638A3" wp14:editId="340731BF">
            <wp:extent cx="4967680" cy="4528868"/>
            <wp:effectExtent l="0" t="0" r="4445" b="5080"/>
            <wp:docPr id="1992355600" name="Picture 2" descr="A blue circle with a number of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55600" name="Picture 2" descr="A blue circle with a number of circl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72620" cy="4533372"/>
                    </a:xfrm>
                    <a:prstGeom prst="rect">
                      <a:avLst/>
                    </a:prstGeom>
                  </pic:spPr>
                </pic:pic>
              </a:graphicData>
            </a:graphic>
          </wp:inline>
        </w:drawing>
      </w:r>
    </w:p>
    <w:p w14:paraId="6ECF3ADE" w14:textId="77777777" w:rsidR="00532569" w:rsidRDefault="00532569" w:rsidP="00532569">
      <w:pPr>
        <w:rPr>
          <w:b/>
          <w:bCs/>
        </w:rPr>
      </w:pPr>
      <w:r w:rsidRPr="00C55F11">
        <w:rPr>
          <w:b/>
          <w:bCs/>
        </w:rPr>
        <w:lastRenderedPageBreak/>
        <w:t>(C)</w:t>
      </w:r>
    </w:p>
    <w:p w14:paraId="1F12538E" w14:textId="77777777" w:rsidR="00532569" w:rsidRDefault="00532569" w:rsidP="00532569">
      <w:r>
        <w:t xml:space="preserve"> </w:t>
      </w:r>
      <w:r>
        <w:rPr>
          <w:noProof/>
        </w:rPr>
        <w:drawing>
          <wp:inline distT="0" distB="0" distL="0" distR="0" wp14:anchorId="1345DFB9" wp14:editId="7AA47AB2">
            <wp:extent cx="5486411" cy="4572009"/>
            <wp:effectExtent l="0" t="0" r="0" b="0"/>
            <wp:docPr id="192312467" name="Picture 1" descr="A blue circle with a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2467" name="Picture 1" descr="A blue circle with a pie char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86411" cy="4572009"/>
                    </a:xfrm>
                    <a:prstGeom prst="rect">
                      <a:avLst/>
                    </a:prstGeom>
                  </pic:spPr>
                </pic:pic>
              </a:graphicData>
            </a:graphic>
          </wp:inline>
        </w:drawing>
      </w:r>
    </w:p>
    <w:p w14:paraId="1D1C40A3" w14:textId="60CB077F" w:rsidR="00532569" w:rsidRDefault="00532569" w:rsidP="00532569">
      <w:r w:rsidRPr="00C55F11">
        <w:rPr>
          <w:b/>
          <w:bCs/>
        </w:rPr>
        <w:t>Figure S1.</w:t>
      </w:r>
      <w:r>
        <w:t xml:space="preserve"> </w:t>
      </w:r>
      <w:r w:rsidRPr="00C55F11">
        <w:rPr>
          <w:b/>
          <w:bCs/>
        </w:rPr>
        <w:t>(A)</w:t>
      </w:r>
      <w:r>
        <w:t xml:space="preserve"> In response to concerns raised by the </w:t>
      </w:r>
      <w:r w:rsidRPr="003E6E24">
        <w:rPr>
          <w:i/>
          <w:iCs/>
        </w:rPr>
        <w:t>NAT2</w:t>
      </w:r>
      <w:r>
        <w:t xml:space="preserve"> PCEP and guideline author committee regarding the application of CPIC standardized terminology to NAT2 phenotype and allele function, </w:t>
      </w:r>
      <w:r w:rsidRPr="003E6E24">
        <w:rPr>
          <w:i/>
          <w:iCs/>
        </w:rPr>
        <w:t>NAT2</w:t>
      </w:r>
      <w:r>
        <w:t xml:space="preserve"> allele function nomenclature was evaluated using a structured process. </w:t>
      </w:r>
      <w:r w:rsidRPr="00C55F11">
        <w:rPr>
          <w:b/>
          <w:bCs/>
        </w:rPr>
        <w:t>(B)</w:t>
      </w:r>
      <w:r>
        <w:t xml:space="preserve"> Results of CPIC member survey. The survey sent to CPIC members included the phenotype table as it is presented in the main text (Table 2) which corresponds to option 1 in Table S4. </w:t>
      </w:r>
      <w:r w:rsidRPr="00C55F11">
        <w:rPr>
          <w:b/>
          <w:bCs/>
        </w:rPr>
        <w:t>(C)</w:t>
      </w:r>
      <w:r>
        <w:t xml:space="preserve"> Results of PCEP member and guideline author survey. </w:t>
      </w:r>
    </w:p>
    <w:p w14:paraId="76B91016" w14:textId="77777777" w:rsidR="00532569" w:rsidRDefault="00532569" w:rsidP="00532569">
      <w:pPr>
        <w:pStyle w:val="Heading1"/>
      </w:pPr>
      <w:bookmarkStart w:id="7" w:name="_Toc202350501"/>
      <w:r>
        <w:lastRenderedPageBreak/>
        <w:t>Figure S2. Systematic Literature Review</w:t>
      </w:r>
      <w:bookmarkEnd w:id="7"/>
    </w:p>
    <w:p w14:paraId="34AB01E5" w14:textId="77777777" w:rsidR="00532569" w:rsidRDefault="00532569" w:rsidP="00532569">
      <w:pPr>
        <w:keepNext/>
      </w:pPr>
      <w:r>
        <w:rPr>
          <w:noProof/>
        </w:rPr>
        <w:drawing>
          <wp:inline distT="0" distB="0" distL="0" distR="0" wp14:anchorId="54C16A82" wp14:editId="1B1FE169">
            <wp:extent cx="6858000" cy="4003675"/>
            <wp:effectExtent l="0" t="0" r="0" b="0"/>
            <wp:docPr id="1152820674"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20674" name="Picture 1" descr="A diagram of a company&#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858000" cy="4003675"/>
                    </a:xfrm>
                    <a:prstGeom prst="rect">
                      <a:avLst/>
                    </a:prstGeom>
                  </pic:spPr>
                </pic:pic>
              </a:graphicData>
            </a:graphic>
          </wp:inline>
        </w:drawing>
      </w:r>
    </w:p>
    <w:p w14:paraId="1F74893B" w14:textId="77777777" w:rsidR="00532569" w:rsidRPr="00425823" w:rsidRDefault="00532569" w:rsidP="00532569">
      <w:pPr>
        <w:pStyle w:val="Caption"/>
      </w:pPr>
      <w:r w:rsidRPr="00872205">
        <w:rPr>
          <w:sz w:val="22"/>
          <w:szCs w:val="22"/>
        </w:rPr>
        <w:t>Figure S2. PRISMA 2020 flow diagram of systematic literature review conducted for NAT2 polymorphisms.</w:t>
      </w:r>
    </w:p>
    <w:p w14:paraId="748913D5" w14:textId="11586876" w:rsidR="000F48BE" w:rsidRDefault="000F48BE" w:rsidP="000F48BE">
      <w:pPr>
        <w:pStyle w:val="Heading1"/>
      </w:pPr>
      <w:bookmarkStart w:id="8" w:name="_Toc202350502"/>
      <w:r>
        <w:t>Table S</w:t>
      </w:r>
      <w:r w:rsidR="005A2CAF">
        <w:t>1</w:t>
      </w:r>
      <w:r w:rsidR="006E5C34">
        <w:t xml:space="preserve">. </w:t>
      </w:r>
      <w:r w:rsidR="006E5C34">
        <w:rPr>
          <w:bCs/>
        </w:rPr>
        <w:t>Assignment of Allele Clinical Function and Strength of Evidence</w:t>
      </w:r>
      <w:bookmarkEnd w:id="8"/>
    </w:p>
    <w:tbl>
      <w:tblPr>
        <w:tblStyle w:val="TableGrid"/>
        <w:tblW w:w="0" w:type="auto"/>
        <w:tblLook w:val="04A0" w:firstRow="1" w:lastRow="0" w:firstColumn="1" w:lastColumn="0" w:noHBand="0" w:noVBand="1"/>
      </w:tblPr>
      <w:tblGrid>
        <w:gridCol w:w="1929"/>
        <w:gridCol w:w="7188"/>
        <w:gridCol w:w="1673"/>
      </w:tblGrid>
      <w:tr w:rsidR="00A83F16" w14:paraId="5A242F9F" w14:textId="09106E29" w:rsidTr="000A7863">
        <w:tc>
          <w:tcPr>
            <w:tcW w:w="0" w:type="auto"/>
          </w:tcPr>
          <w:p w14:paraId="0DCA6356" w14:textId="18A24420" w:rsidR="00A83F16" w:rsidRPr="000A7863" w:rsidRDefault="00CE693E" w:rsidP="00A83F16">
            <w:pPr>
              <w:spacing w:after="240"/>
              <w:jc w:val="center"/>
              <w:rPr>
                <w:b/>
                <w:bCs/>
              </w:rPr>
            </w:pPr>
            <w:r w:rsidRPr="000A7863">
              <w:rPr>
                <w:b/>
                <w:bCs/>
              </w:rPr>
              <w:t>Strength of Evidence</w:t>
            </w:r>
          </w:p>
        </w:tc>
        <w:tc>
          <w:tcPr>
            <w:tcW w:w="0" w:type="auto"/>
          </w:tcPr>
          <w:p w14:paraId="2851833B" w14:textId="7171CC7C" w:rsidR="00A83F16" w:rsidRPr="000A7863" w:rsidRDefault="00A83F16" w:rsidP="00A83F16">
            <w:pPr>
              <w:spacing w:after="240"/>
              <w:jc w:val="center"/>
              <w:rPr>
                <w:b/>
                <w:bCs/>
              </w:rPr>
            </w:pPr>
            <w:r w:rsidRPr="000A7863">
              <w:rPr>
                <w:b/>
                <w:bCs/>
              </w:rPr>
              <w:t>Evidence Criteria</w:t>
            </w:r>
          </w:p>
        </w:tc>
        <w:tc>
          <w:tcPr>
            <w:tcW w:w="0" w:type="auto"/>
          </w:tcPr>
          <w:p w14:paraId="565EC9A6" w14:textId="62F00363" w:rsidR="00A83F16" w:rsidRPr="000A7863" w:rsidRDefault="00A83F16" w:rsidP="00A83F16">
            <w:pPr>
              <w:spacing w:after="240"/>
              <w:jc w:val="center"/>
              <w:rPr>
                <w:b/>
                <w:bCs/>
              </w:rPr>
            </w:pPr>
            <w:r w:rsidRPr="000A7863">
              <w:rPr>
                <w:b/>
                <w:bCs/>
              </w:rPr>
              <w:t>Examples</w:t>
            </w:r>
          </w:p>
        </w:tc>
      </w:tr>
      <w:tr w:rsidR="00A83F16" w14:paraId="6BE4DE16" w14:textId="53C6BEAE" w:rsidTr="000A7863">
        <w:tc>
          <w:tcPr>
            <w:tcW w:w="0" w:type="auto"/>
          </w:tcPr>
          <w:p w14:paraId="460F8649" w14:textId="7D337E84" w:rsidR="00A83F16" w:rsidRPr="000A7863" w:rsidRDefault="00A83F16" w:rsidP="00600251">
            <w:pPr>
              <w:spacing w:after="240"/>
              <w:rPr>
                <w:b/>
                <w:bCs/>
              </w:rPr>
            </w:pPr>
            <w:r w:rsidRPr="000A7863">
              <w:rPr>
                <w:b/>
                <w:bCs/>
              </w:rPr>
              <w:t>DEFINITIVE</w:t>
            </w:r>
          </w:p>
        </w:tc>
        <w:tc>
          <w:tcPr>
            <w:tcW w:w="0" w:type="auto"/>
          </w:tcPr>
          <w:p w14:paraId="3AECB267" w14:textId="77777777" w:rsidR="00A83F16" w:rsidRDefault="00A83F16" w:rsidP="00600251">
            <w:pPr>
              <w:spacing w:after="240"/>
            </w:pPr>
            <w:r w:rsidRPr="00616E5C">
              <w:t xml:space="preserve">The causal role of this allele in this </w:t>
            </w:r>
            <w:proofErr w:type="gramStart"/>
            <w:r w:rsidRPr="00616E5C">
              <w:t>particular drug</w:t>
            </w:r>
            <w:proofErr w:type="gramEnd"/>
            <w:r w:rsidRPr="00616E5C">
              <w:t xml:space="preserve"> phenotype has been repeatedly demonstrated in independent clinical </w:t>
            </w:r>
            <w:r w:rsidR="00B12320" w:rsidRPr="00616E5C">
              <w:t>studies and</w:t>
            </w:r>
            <w:r w:rsidRPr="00616E5C">
              <w:t xml:space="preserve"> has been upheld over time</w:t>
            </w:r>
            <w:r w:rsidR="00B12320">
              <w:t xml:space="preserve">. </w:t>
            </w:r>
            <w:r w:rsidRPr="00616E5C">
              <w:t>No convincing, adequately powered evidence has emerged that contradicts the role of the allele in the noted drug phenotype.</w:t>
            </w:r>
          </w:p>
          <w:p w14:paraId="5C9F71FD" w14:textId="201EDA77" w:rsidR="008573AD" w:rsidRPr="00616E5C" w:rsidRDefault="008573AD" w:rsidP="00600251">
            <w:pPr>
              <w:spacing w:after="240"/>
              <w:rPr>
                <w:b/>
                <w:bCs/>
              </w:rPr>
            </w:pPr>
            <w:r w:rsidRPr="003E2AFF">
              <w:t>For</w:t>
            </w:r>
            <w:r>
              <w:rPr>
                <w:b/>
                <w:bCs/>
              </w:rPr>
              <w:t xml:space="preserve"> </w:t>
            </w:r>
            <w:r w:rsidRPr="0082340D">
              <w:rPr>
                <w:b/>
                <w:bCs/>
                <w:i/>
                <w:iCs/>
              </w:rPr>
              <w:t>NAT2</w:t>
            </w:r>
            <w:r>
              <w:rPr>
                <w:b/>
                <w:bCs/>
              </w:rPr>
              <w:t xml:space="preserve">, </w:t>
            </w:r>
            <w:r w:rsidRPr="003E2AFF">
              <w:t>function of a single variant has been heavily studied over the last 25+ years</w:t>
            </w:r>
            <w:r w:rsidR="00DF7F82">
              <w:t xml:space="preserve"> and is well-established.</w:t>
            </w:r>
          </w:p>
        </w:tc>
        <w:tc>
          <w:tcPr>
            <w:tcW w:w="0" w:type="auto"/>
          </w:tcPr>
          <w:p w14:paraId="0A8E0303" w14:textId="05DB5ADC" w:rsidR="00A83F16" w:rsidRPr="001245AD" w:rsidRDefault="001245AD" w:rsidP="00600251">
            <w:pPr>
              <w:spacing w:after="240"/>
              <w:rPr>
                <w:i/>
                <w:iCs/>
              </w:rPr>
            </w:pPr>
            <w:r w:rsidRPr="001245AD">
              <w:rPr>
                <w:i/>
                <w:iCs/>
              </w:rPr>
              <w:t>NAT2*5, NAT2*6, NAT2*7, NAT2*14</w:t>
            </w:r>
          </w:p>
        </w:tc>
      </w:tr>
      <w:tr w:rsidR="00A83F16" w14:paraId="1C6BD531" w14:textId="1F0ADE0C" w:rsidTr="000A7863">
        <w:tc>
          <w:tcPr>
            <w:tcW w:w="0" w:type="auto"/>
          </w:tcPr>
          <w:p w14:paraId="26CFD42A" w14:textId="62FDD62E" w:rsidR="00A83F16" w:rsidRPr="000A7863" w:rsidRDefault="00A83F16" w:rsidP="00600251">
            <w:pPr>
              <w:spacing w:after="240"/>
              <w:rPr>
                <w:b/>
                <w:bCs/>
              </w:rPr>
            </w:pPr>
            <w:r w:rsidRPr="000A7863">
              <w:rPr>
                <w:b/>
                <w:bCs/>
              </w:rPr>
              <w:t>STRONG</w:t>
            </w:r>
          </w:p>
        </w:tc>
        <w:tc>
          <w:tcPr>
            <w:tcW w:w="0" w:type="auto"/>
          </w:tcPr>
          <w:p w14:paraId="0E0B1372" w14:textId="77777777" w:rsidR="00A83F16" w:rsidRDefault="00A83F16" w:rsidP="00600251">
            <w:pPr>
              <w:spacing w:after="240"/>
            </w:pPr>
            <w:r>
              <w:t xml:space="preserve">There is </w:t>
            </w:r>
            <w:r w:rsidRPr="00AD11DF">
              <w:t>strong</w:t>
            </w:r>
            <w:r>
              <w:t xml:space="preserve"> evidence to support a causal role for this allele in this drug phenotype, including at least two independent clinical studies providing evidence for the allele’s role in drug phenotype in addition to at least one of the following types of evidence:</w:t>
            </w:r>
          </w:p>
          <w:p w14:paraId="59F5BB21" w14:textId="77777777" w:rsidR="00A83F16" w:rsidRDefault="00A83F16" w:rsidP="00600251">
            <w:pPr>
              <w:spacing w:after="240"/>
            </w:pPr>
            <w:r>
              <w:t>• Case reports</w:t>
            </w:r>
          </w:p>
          <w:p w14:paraId="4318BC1A" w14:textId="77777777" w:rsidR="00A83F16" w:rsidRDefault="00A83F16" w:rsidP="00600251">
            <w:pPr>
              <w:spacing w:after="240"/>
            </w:pPr>
            <w:r>
              <w:t xml:space="preserve">• </w:t>
            </w:r>
            <w:r w:rsidRPr="00E04018">
              <w:rPr>
                <w:i/>
                <w:iCs/>
              </w:rPr>
              <w:t>In</w:t>
            </w:r>
            <w:r w:rsidRPr="001254DB">
              <w:rPr>
                <w:i/>
                <w:iCs/>
              </w:rPr>
              <w:t xml:space="preserve"> vitro</w:t>
            </w:r>
            <w:r>
              <w:t xml:space="preserve"> data (e.g. experimental data comparing the consequences of introducing the variant, or correlative data showing concordance of genotype with phenotype) support the variant-drug phenotype association</w:t>
            </w:r>
          </w:p>
          <w:p w14:paraId="26F5067E" w14:textId="77777777" w:rsidR="00A83F16" w:rsidRDefault="00A83F16" w:rsidP="00600251">
            <w:pPr>
              <w:spacing w:after="240"/>
            </w:pPr>
            <w:r>
              <w:lastRenderedPageBreak/>
              <w:t xml:space="preserve">• Computational activity predictions overall support </w:t>
            </w:r>
            <w:r w:rsidRPr="001254DB">
              <w:rPr>
                <w:i/>
                <w:iCs/>
              </w:rPr>
              <w:t>in vivo</w:t>
            </w:r>
            <w:r>
              <w:t xml:space="preserve"> and/or </w:t>
            </w:r>
            <w:r w:rsidRPr="001254DB">
              <w:rPr>
                <w:i/>
                <w:iCs/>
              </w:rPr>
              <w:t>in vitro</w:t>
            </w:r>
            <w:r>
              <w:t xml:space="preserve"> data (</w:t>
            </w:r>
            <w:r w:rsidRPr="001722BA">
              <w:t>25741868</w:t>
            </w:r>
            <w:r>
              <w:t>)</w:t>
            </w:r>
          </w:p>
          <w:p w14:paraId="2106C978" w14:textId="77777777" w:rsidR="00A83F16" w:rsidRDefault="00A83F16" w:rsidP="00600251">
            <w:pPr>
              <w:spacing w:after="240"/>
            </w:pPr>
            <w:r>
              <w:t>AND no convincing, adequately powered evidence has emerged that contradicts the role of the allele in the noted drug phenotype.</w:t>
            </w:r>
          </w:p>
        </w:tc>
        <w:tc>
          <w:tcPr>
            <w:tcW w:w="0" w:type="auto"/>
          </w:tcPr>
          <w:p w14:paraId="7EF528E7" w14:textId="77777777" w:rsidR="00A83F16" w:rsidRDefault="00A83F16" w:rsidP="00600251">
            <w:pPr>
              <w:spacing w:after="240"/>
            </w:pPr>
          </w:p>
        </w:tc>
      </w:tr>
      <w:tr w:rsidR="00A83F16" w14:paraId="555BD9B2" w14:textId="1523E0F8" w:rsidTr="000A7863">
        <w:tc>
          <w:tcPr>
            <w:tcW w:w="0" w:type="auto"/>
          </w:tcPr>
          <w:p w14:paraId="43570CAE" w14:textId="0988085C" w:rsidR="00A83F16" w:rsidRPr="000A7863" w:rsidRDefault="00A83F16" w:rsidP="00600251">
            <w:pPr>
              <w:spacing w:after="240"/>
              <w:rPr>
                <w:b/>
                <w:bCs/>
              </w:rPr>
            </w:pPr>
            <w:r w:rsidRPr="000A7863">
              <w:rPr>
                <w:b/>
                <w:bCs/>
              </w:rPr>
              <w:t>MODERATE</w:t>
            </w:r>
          </w:p>
        </w:tc>
        <w:tc>
          <w:tcPr>
            <w:tcW w:w="0" w:type="auto"/>
          </w:tcPr>
          <w:p w14:paraId="7D8E49A5" w14:textId="77777777" w:rsidR="00A83F16" w:rsidRDefault="00A83F16" w:rsidP="00600251">
            <w:pPr>
              <w:spacing w:after="240"/>
            </w:pPr>
            <w:r>
              <w:t xml:space="preserve">There is </w:t>
            </w:r>
            <w:r w:rsidRPr="00AD11DF">
              <w:t>moderate</w:t>
            </w:r>
            <w:r>
              <w:t xml:space="preserve"> evidence to support a causal role for this allele in this drug phenotype, including at least two of the following types of independent evidence:</w:t>
            </w:r>
          </w:p>
          <w:p w14:paraId="56AC485C" w14:textId="77777777" w:rsidR="00A83F16" w:rsidRDefault="00A83F16" w:rsidP="00600251">
            <w:pPr>
              <w:spacing w:after="240"/>
            </w:pPr>
            <w:r>
              <w:t>• At least 2 patient cases demonstrating drug phenotype causality</w:t>
            </w:r>
          </w:p>
          <w:p w14:paraId="2A60D05C" w14:textId="77777777" w:rsidR="00A83F16" w:rsidRDefault="00A83F16" w:rsidP="00600251">
            <w:pPr>
              <w:spacing w:after="240"/>
            </w:pPr>
            <w:r>
              <w:t xml:space="preserve">• </w:t>
            </w:r>
            <w:r w:rsidRPr="00ED6D0F">
              <w:rPr>
                <w:i/>
                <w:iCs/>
              </w:rPr>
              <w:t>In vitro</w:t>
            </w:r>
            <w:r>
              <w:t xml:space="preserve"> experimental data (e.g. engineered variant and effect measures support the variant-drug phenotype association)</w:t>
            </w:r>
          </w:p>
          <w:p w14:paraId="5F261237" w14:textId="77777777" w:rsidR="00A83F16" w:rsidRDefault="00A83F16" w:rsidP="00600251">
            <w:pPr>
              <w:spacing w:after="240"/>
            </w:pPr>
            <w:r>
              <w:t>• At least one clinical study providing evidence for the allele’s role in drug phenotype</w:t>
            </w:r>
          </w:p>
          <w:p w14:paraId="7B43D9CF" w14:textId="77777777" w:rsidR="00A83F16" w:rsidRDefault="00A83F16" w:rsidP="00600251">
            <w:pPr>
              <w:spacing w:after="240"/>
            </w:pPr>
            <w:r>
              <w:t>AND no convincing, adequately powered evidence has emerged that contradicts the role of the allele in the noted drug phenotype.</w:t>
            </w:r>
          </w:p>
          <w:p w14:paraId="56B15D7C" w14:textId="77777777" w:rsidR="00086E1A" w:rsidRDefault="0043714D" w:rsidP="00600251">
            <w:pPr>
              <w:spacing w:after="240"/>
              <w:rPr>
                <w:b/>
                <w:bCs/>
              </w:rPr>
            </w:pPr>
            <w:r w:rsidRPr="0043714D">
              <w:t xml:space="preserve">For </w:t>
            </w:r>
            <w:r w:rsidRPr="0082340D">
              <w:rPr>
                <w:b/>
                <w:bCs/>
                <w:i/>
                <w:iCs/>
              </w:rPr>
              <w:t>NAT2</w:t>
            </w:r>
            <w:r w:rsidR="00086E1A">
              <w:rPr>
                <w:b/>
                <w:bCs/>
              </w:rPr>
              <w:t>:</w:t>
            </w:r>
          </w:p>
          <w:p w14:paraId="4901B40A" w14:textId="7D7A7B08" w:rsidR="00086E1A" w:rsidRDefault="00086E1A" w:rsidP="00600251">
            <w:pPr>
              <w:spacing w:after="240"/>
            </w:pPr>
            <w:r>
              <w:t>A</w:t>
            </w:r>
            <w:r w:rsidR="0043714D" w:rsidRPr="0043714D">
              <w:t>lleles characterized by two or more variants with well-established function</w:t>
            </w:r>
            <w:r>
              <w:t>.</w:t>
            </w:r>
          </w:p>
          <w:p w14:paraId="5295BC0B" w14:textId="6298E8F0" w:rsidR="00A83F16" w:rsidRPr="0043714D" w:rsidRDefault="00086E1A" w:rsidP="00600251">
            <w:pPr>
              <w:spacing w:after="240"/>
            </w:pPr>
            <w:r>
              <w:t>Alleles</w:t>
            </w:r>
            <w:r w:rsidR="0043714D" w:rsidRPr="0043714D">
              <w:t xml:space="preserve"> characterized by one variant with well-</w:t>
            </w:r>
            <w:r w:rsidR="0082340D">
              <w:t>established</w:t>
            </w:r>
            <w:r w:rsidR="0043714D" w:rsidRPr="0043714D">
              <w:t xml:space="preserve"> function and one with concordant computational evidence to predict function</w:t>
            </w:r>
            <w:r>
              <w:t>.</w:t>
            </w:r>
          </w:p>
        </w:tc>
        <w:tc>
          <w:tcPr>
            <w:tcW w:w="0" w:type="auto"/>
          </w:tcPr>
          <w:p w14:paraId="1C7A346E" w14:textId="03C82055" w:rsidR="00A83F16" w:rsidRPr="001A67ED" w:rsidRDefault="001A67ED" w:rsidP="00600251">
            <w:pPr>
              <w:spacing w:after="240"/>
              <w:rPr>
                <w:i/>
                <w:iCs/>
              </w:rPr>
            </w:pPr>
            <w:r>
              <w:rPr>
                <w:i/>
                <w:iCs/>
              </w:rPr>
              <w:t xml:space="preserve">NAT2*15, </w:t>
            </w:r>
            <w:r w:rsidR="0043714D" w:rsidRPr="001A67ED">
              <w:rPr>
                <w:i/>
                <w:iCs/>
              </w:rPr>
              <w:t>NAT2*29</w:t>
            </w:r>
            <w:r w:rsidR="00F845F7" w:rsidRPr="001A67ED">
              <w:rPr>
                <w:i/>
                <w:iCs/>
              </w:rPr>
              <w:t>, NAT2*33</w:t>
            </w:r>
            <w:r w:rsidR="00045AE2">
              <w:rPr>
                <w:i/>
                <w:iCs/>
              </w:rPr>
              <w:t>, NAT2*50</w:t>
            </w:r>
          </w:p>
        </w:tc>
      </w:tr>
      <w:tr w:rsidR="00A83F16" w14:paraId="5DEB4847" w14:textId="69A246B6" w:rsidTr="000A7863">
        <w:tc>
          <w:tcPr>
            <w:tcW w:w="0" w:type="auto"/>
          </w:tcPr>
          <w:p w14:paraId="13F11BAC" w14:textId="0F7FD0A1" w:rsidR="00A83F16" w:rsidRPr="000A7863" w:rsidRDefault="00A83F16" w:rsidP="00600251">
            <w:pPr>
              <w:spacing w:after="240"/>
              <w:rPr>
                <w:b/>
                <w:bCs/>
              </w:rPr>
            </w:pPr>
            <w:r w:rsidRPr="000A7863">
              <w:rPr>
                <w:b/>
                <w:bCs/>
              </w:rPr>
              <w:t>LIMITED</w:t>
            </w:r>
          </w:p>
        </w:tc>
        <w:tc>
          <w:tcPr>
            <w:tcW w:w="0" w:type="auto"/>
          </w:tcPr>
          <w:p w14:paraId="23BF5C4B" w14:textId="77777777" w:rsidR="00A83F16" w:rsidRDefault="00A83F16" w:rsidP="00600251">
            <w:pPr>
              <w:tabs>
                <w:tab w:val="left" w:pos="1402"/>
              </w:tabs>
              <w:spacing w:after="240"/>
            </w:pPr>
            <w:r>
              <w:t>There is limited evidence to support a causal role for this allele in this drug phenotype, including at least two independent studies based on the following types of evidence:</w:t>
            </w:r>
          </w:p>
          <w:p w14:paraId="7F4475AB" w14:textId="77777777" w:rsidR="00A83F16" w:rsidRDefault="00A83F16" w:rsidP="00600251">
            <w:pPr>
              <w:tabs>
                <w:tab w:val="left" w:pos="1402"/>
              </w:tabs>
              <w:spacing w:after="240"/>
            </w:pPr>
            <w:r>
              <w:t>• A case report</w:t>
            </w:r>
          </w:p>
          <w:p w14:paraId="00632BD1" w14:textId="77777777" w:rsidR="00A83F16" w:rsidRDefault="00A83F16" w:rsidP="00600251">
            <w:pPr>
              <w:tabs>
                <w:tab w:val="left" w:pos="1402"/>
              </w:tabs>
              <w:spacing w:after="240"/>
            </w:pPr>
            <w:r>
              <w:t xml:space="preserve">• </w:t>
            </w:r>
            <w:r w:rsidRPr="00297484">
              <w:rPr>
                <w:i/>
                <w:iCs/>
              </w:rPr>
              <w:t>In vitro</w:t>
            </w:r>
            <w:r>
              <w:t xml:space="preserve"> data (e.g. experimental or correlative data) support the variant-drug phenotype association</w:t>
            </w:r>
          </w:p>
          <w:p w14:paraId="1DB5C69C" w14:textId="014DED8A" w:rsidR="00A83F16" w:rsidRPr="00B12320" w:rsidRDefault="00A83F16" w:rsidP="00600251">
            <w:pPr>
              <w:tabs>
                <w:tab w:val="left" w:pos="1402"/>
              </w:tabs>
              <w:spacing w:after="240"/>
            </w:pPr>
            <w:r>
              <w:t xml:space="preserve">• Computational activity predictions overall support </w:t>
            </w:r>
            <w:r w:rsidRPr="00297484">
              <w:rPr>
                <w:i/>
                <w:iCs/>
              </w:rPr>
              <w:t>in vivo</w:t>
            </w:r>
            <w:r>
              <w:t xml:space="preserve"> and/or </w:t>
            </w:r>
            <w:r w:rsidRPr="00297484">
              <w:rPr>
                <w:i/>
                <w:iCs/>
              </w:rPr>
              <w:t>in vitro</w:t>
            </w:r>
            <w:r>
              <w:t xml:space="preserve"> data (</w:t>
            </w:r>
            <w:r w:rsidRPr="001722BA">
              <w:t>25741868</w:t>
            </w:r>
            <w:r>
              <w:t>)</w:t>
            </w:r>
          </w:p>
          <w:p w14:paraId="14F4E77E" w14:textId="7F62121D" w:rsidR="00A83F16" w:rsidRPr="00B12320" w:rsidRDefault="00A83F16" w:rsidP="00600251">
            <w:pPr>
              <w:tabs>
                <w:tab w:val="left" w:pos="1402"/>
              </w:tabs>
              <w:spacing w:after="240"/>
            </w:pPr>
            <w:r>
              <w:t>Computational activity predictions may be sufficient in unequivocal cases of early stop codon or complete gene deletions.</w:t>
            </w:r>
          </w:p>
          <w:p w14:paraId="45AF38D0" w14:textId="49A1B01C" w:rsidR="00A83F16" w:rsidRPr="00B12320" w:rsidRDefault="00A83F16" w:rsidP="00600251">
            <w:pPr>
              <w:tabs>
                <w:tab w:val="left" w:pos="1402"/>
              </w:tabs>
              <w:spacing w:after="240"/>
            </w:pPr>
            <w:r>
              <w:t>AND no convincing, adequately powered evidence has emerged that contradicts the role of the allele in the noted drug phenotype.</w:t>
            </w:r>
          </w:p>
          <w:p w14:paraId="7EFD834F" w14:textId="77777777" w:rsidR="00A83F16" w:rsidRDefault="00A83F16" w:rsidP="00600251">
            <w:pPr>
              <w:tabs>
                <w:tab w:val="left" w:pos="1402"/>
              </w:tabs>
              <w:spacing w:after="240"/>
            </w:pPr>
            <w:r>
              <w:t>Function assignment based on limited data should only be made for genes whose resulting drug phenotype dictates changes to prescribing that are much more likely to result in improved clinical outcomes than not changing prescribing based on genetic test results, including consideration of life-threatening consequences if not considered.</w:t>
            </w:r>
          </w:p>
          <w:p w14:paraId="3B3805DA" w14:textId="77777777" w:rsidR="00086E1A" w:rsidRDefault="003E2AFF" w:rsidP="00600251">
            <w:pPr>
              <w:tabs>
                <w:tab w:val="left" w:pos="1402"/>
              </w:tabs>
              <w:spacing w:after="240"/>
              <w:rPr>
                <w:b/>
                <w:bCs/>
              </w:rPr>
            </w:pPr>
            <w:r>
              <w:t xml:space="preserve">For </w:t>
            </w:r>
            <w:r w:rsidRPr="0082340D">
              <w:rPr>
                <w:b/>
                <w:bCs/>
                <w:i/>
                <w:iCs/>
              </w:rPr>
              <w:t>NAT2</w:t>
            </w:r>
            <w:r w:rsidR="00086E1A">
              <w:rPr>
                <w:b/>
                <w:bCs/>
              </w:rPr>
              <w:t>:</w:t>
            </w:r>
          </w:p>
          <w:p w14:paraId="6E235E73" w14:textId="2AE020A8" w:rsidR="003E2AFF" w:rsidRPr="00086E1A" w:rsidRDefault="00086E1A" w:rsidP="00600251">
            <w:pPr>
              <w:tabs>
                <w:tab w:val="left" w:pos="1402"/>
              </w:tabs>
              <w:spacing w:after="240"/>
              <w:rPr>
                <w:b/>
                <w:bCs/>
              </w:rPr>
            </w:pPr>
            <w:r>
              <w:lastRenderedPageBreak/>
              <w:t>A</w:t>
            </w:r>
            <w:r w:rsidR="003E2AFF">
              <w:t>lleles characterized by one variant with well-established function and one variant with unknown or uncertain function</w:t>
            </w:r>
            <w:r>
              <w:t xml:space="preserve">, </w:t>
            </w:r>
            <w:r w:rsidR="003E2AFF">
              <w:t>particularly where computational evidence was conflicting</w:t>
            </w:r>
            <w:r>
              <w:t>.</w:t>
            </w:r>
          </w:p>
        </w:tc>
        <w:tc>
          <w:tcPr>
            <w:tcW w:w="0" w:type="auto"/>
          </w:tcPr>
          <w:p w14:paraId="117FADE1" w14:textId="5921A840" w:rsidR="00A83F16" w:rsidRPr="00B12320" w:rsidRDefault="00B12320" w:rsidP="00600251">
            <w:pPr>
              <w:tabs>
                <w:tab w:val="left" w:pos="1402"/>
              </w:tabs>
              <w:spacing w:after="240"/>
              <w:rPr>
                <w:i/>
                <w:iCs/>
              </w:rPr>
            </w:pPr>
            <w:r w:rsidRPr="00B12320">
              <w:rPr>
                <w:i/>
                <w:iCs/>
              </w:rPr>
              <w:lastRenderedPageBreak/>
              <w:t>NAT2*19, NAT2*47, NAT2*48</w:t>
            </w:r>
          </w:p>
        </w:tc>
      </w:tr>
      <w:tr w:rsidR="00A83F16" w14:paraId="5F46707D" w14:textId="77777777" w:rsidTr="000A7863">
        <w:tc>
          <w:tcPr>
            <w:tcW w:w="0" w:type="auto"/>
          </w:tcPr>
          <w:p w14:paraId="6A88B3AC" w14:textId="7D038DD9" w:rsidR="00A83F16" w:rsidRPr="000A7863" w:rsidRDefault="00A83F16" w:rsidP="002C4F36">
            <w:pPr>
              <w:spacing w:after="240"/>
              <w:rPr>
                <w:b/>
                <w:bCs/>
              </w:rPr>
            </w:pPr>
            <w:r w:rsidRPr="000A7863">
              <w:rPr>
                <w:b/>
                <w:bCs/>
              </w:rPr>
              <w:t>INADEQUATE – Uncertain Function</w:t>
            </w:r>
          </w:p>
        </w:tc>
        <w:tc>
          <w:tcPr>
            <w:tcW w:w="0" w:type="auto"/>
          </w:tcPr>
          <w:p w14:paraId="15D9AC4F" w14:textId="77777777" w:rsidR="00A83F16" w:rsidRDefault="00A83F16" w:rsidP="002C4F36">
            <w:pPr>
              <w:spacing w:after="240"/>
            </w:pPr>
            <w:r>
              <w:t xml:space="preserve">Fewer than 2 patient cases with no convincing </w:t>
            </w:r>
            <w:r w:rsidRPr="00960AFD">
              <w:rPr>
                <w:i/>
                <w:iCs/>
              </w:rPr>
              <w:t>in vitro</w:t>
            </w:r>
            <w:r>
              <w:t xml:space="preserve"> experimental data, with extremely limited or conflicting </w:t>
            </w:r>
            <w:r w:rsidRPr="00960AFD">
              <w:rPr>
                <w:i/>
                <w:iCs/>
              </w:rPr>
              <w:t>in vitro</w:t>
            </w:r>
            <w:r>
              <w:t xml:space="preserve"> data.</w:t>
            </w:r>
          </w:p>
          <w:p w14:paraId="2B7EBB5F" w14:textId="77777777" w:rsidR="00A83F16" w:rsidRDefault="00A83F16" w:rsidP="002C4F36">
            <w:pPr>
              <w:tabs>
                <w:tab w:val="left" w:pos="1402"/>
              </w:tabs>
              <w:spacing w:after="240"/>
            </w:pPr>
            <w:r>
              <w:t xml:space="preserve">This designation should be used when the evidence is not sufficiently strong to support a clinical functional status that can inform prescribing actionability. </w:t>
            </w:r>
          </w:p>
          <w:p w14:paraId="53F3DA56" w14:textId="77777777" w:rsidR="000470F6" w:rsidRDefault="000470F6" w:rsidP="002C4F36">
            <w:pPr>
              <w:tabs>
                <w:tab w:val="left" w:pos="1402"/>
              </w:tabs>
              <w:spacing w:after="240"/>
              <w:rPr>
                <w:b/>
                <w:bCs/>
              </w:rPr>
            </w:pPr>
            <w:r>
              <w:t xml:space="preserve">For </w:t>
            </w:r>
            <w:r w:rsidRPr="000470F6">
              <w:rPr>
                <w:b/>
                <w:bCs/>
                <w:i/>
                <w:iCs/>
              </w:rPr>
              <w:t>NAT2</w:t>
            </w:r>
            <w:r>
              <w:rPr>
                <w:b/>
                <w:bCs/>
              </w:rPr>
              <w:t>:</w:t>
            </w:r>
          </w:p>
          <w:p w14:paraId="1F64701D" w14:textId="77777777" w:rsidR="000470F6" w:rsidRDefault="000470F6" w:rsidP="002C4F36">
            <w:pPr>
              <w:tabs>
                <w:tab w:val="left" w:pos="1402"/>
              </w:tabs>
              <w:spacing w:after="240"/>
            </w:pPr>
            <w:r>
              <w:t xml:space="preserve">Alleles characterized by variants with conflicting </w:t>
            </w:r>
            <w:r w:rsidRPr="000470F6">
              <w:rPr>
                <w:i/>
                <w:iCs/>
              </w:rPr>
              <w:t>in vitro</w:t>
            </w:r>
            <w:r>
              <w:t xml:space="preserve"> and computational evidence.</w:t>
            </w:r>
          </w:p>
          <w:p w14:paraId="1961BA35" w14:textId="38C9FDFF" w:rsidR="000470F6" w:rsidRPr="000470F6" w:rsidRDefault="000470F6" w:rsidP="002C4F36">
            <w:pPr>
              <w:tabs>
                <w:tab w:val="left" w:pos="1402"/>
              </w:tabs>
              <w:spacing w:after="240"/>
            </w:pPr>
            <w:r>
              <w:t>Alleles characterized by variants with insufficient evidence, as stated above.</w:t>
            </w:r>
          </w:p>
        </w:tc>
        <w:tc>
          <w:tcPr>
            <w:tcW w:w="0" w:type="auto"/>
          </w:tcPr>
          <w:p w14:paraId="55314C3C" w14:textId="02E39998" w:rsidR="00A83F16" w:rsidRPr="00E9315F" w:rsidRDefault="00984D72" w:rsidP="002C4F36">
            <w:pPr>
              <w:tabs>
                <w:tab w:val="left" w:pos="1402"/>
              </w:tabs>
              <w:spacing w:after="240"/>
              <w:rPr>
                <w:i/>
                <w:iCs/>
              </w:rPr>
            </w:pPr>
            <w:r w:rsidRPr="00E9315F">
              <w:rPr>
                <w:i/>
                <w:iCs/>
              </w:rPr>
              <w:t>NAT2*10</w:t>
            </w:r>
            <w:r w:rsidR="00E9315F" w:rsidRPr="00E9315F">
              <w:rPr>
                <w:i/>
                <w:iCs/>
              </w:rPr>
              <w:t>, NAT2*21, NAT2*27</w:t>
            </w:r>
          </w:p>
        </w:tc>
      </w:tr>
      <w:tr w:rsidR="00A83F16" w14:paraId="2364C70B" w14:textId="77777777" w:rsidTr="000A7863">
        <w:tc>
          <w:tcPr>
            <w:tcW w:w="0" w:type="auto"/>
          </w:tcPr>
          <w:p w14:paraId="7DF03CAC" w14:textId="387DDBF4" w:rsidR="00A83F16" w:rsidRPr="000A7863" w:rsidRDefault="00A83F16" w:rsidP="00A83F16">
            <w:pPr>
              <w:spacing w:after="240"/>
              <w:rPr>
                <w:b/>
                <w:bCs/>
              </w:rPr>
            </w:pPr>
            <w:r w:rsidRPr="000A7863">
              <w:rPr>
                <w:b/>
                <w:bCs/>
              </w:rPr>
              <w:t>NO EVIDENCE – Unknown Function</w:t>
            </w:r>
          </w:p>
        </w:tc>
        <w:tc>
          <w:tcPr>
            <w:tcW w:w="0" w:type="auto"/>
          </w:tcPr>
          <w:p w14:paraId="04549803" w14:textId="587967E6" w:rsidR="00A83F16" w:rsidRDefault="00A83F16" w:rsidP="00A83F16">
            <w:pPr>
              <w:tabs>
                <w:tab w:val="left" w:pos="1402"/>
              </w:tabs>
              <w:spacing w:after="240"/>
            </w:pPr>
            <w:r w:rsidRPr="00960AFD">
              <w:t>There is no literature describing function.</w:t>
            </w:r>
          </w:p>
        </w:tc>
        <w:tc>
          <w:tcPr>
            <w:tcW w:w="0" w:type="auto"/>
          </w:tcPr>
          <w:p w14:paraId="3C585294" w14:textId="0C1F6BC0" w:rsidR="00A83F16" w:rsidRPr="00081BFA" w:rsidRDefault="00081BFA" w:rsidP="00A83F16">
            <w:pPr>
              <w:tabs>
                <w:tab w:val="left" w:pos="1402"/>
              </w:tabs>
              <w:spacing w:after="240"/>
              <w:rPr>
                <w:i/>
                <w:iCs/>
              </w:rPr>
            </w:pPr>
            <w:r>
              <w:rPr>
                <w:i/>
                <w:iCs/>
              </w:rPr>
              <w:t>NAT2*55, NAT2*60, NAT2*61</w:t>
            </w:r>
          </w:p>
        </w:tc>
      </w:tr>
    </w:tbl>
    <w:p w14:paraId="644DECAC" w14:textId="1396F0F5" w:rsidR="005A2CAF" w:rsidRDefault="005A2CAF" w:rsidP="005A2CAF">
      <w:pPr>
        <w:pStyle w:val="Heading1"/>
      </w:pPr>
      <w:bookmarkStart w:id="9" w:name="_Toc202350503"/>
      <w:r>
        <w:t>Table S2. Functional Assignment to Alleles</w:t>
      </w:r>
      <w:bookmarkEnd w:id="9"/>
    </w:p>
    <w:tbl>
      <w:tblPr>
        <w:tblStyle w:val="TableGrid"/>
        <w:tblW w:w="0" w:type="auto"/>
        <w:tblLook w:val="04A0" w:firstRow="1" w:lastRow="0" w:firstColumn="1" w:lastColumn="0" w:noHBand="0" w:noVBand="1"/>
      </w:tblPr>
      <w:tblGrid>
        <w:gridCol w:w="2248"/>
        <w:gridCol w:w="1380"/>
        <w:gridCol w:w="1710"/>
        <w:gridCol w:w="4369"/>
        <w:gridCol w:w="1083"/>
      </w:tblGrid>
      <w:tr w:rsidR="005A2CAF" w14:paraId="0D487866" w14:textId="77777777" w:rsidTr="000A7863">
        <w:tc>
          <w:tcPr>
            <w:tcW w:w="0" w:type="auto"/>
          </w:tcPr>
          <w:p w14:paraId="1C7D70B5" w14:textId="775F157B" w:rsidR="005A2CAF" w:rsidRPr="000A7863" w:rsidRDefault="005A2CAF" w:rsidP="00314EC8">
            <w:pPr>
              <w:spacing w:after="240"/>
              <w:rPr>
                <w:b/>
                <w:bCs/>
              </w:rPr>
            </w:pPr>
            <w:r w:rsidRPr="000A7863">
              <w:rPr>
                <w:b/>
                <w:bCs/>
              </w:rPr>
              <w:t>Term/Gene Category</w:t>
            </w:r>
          </w:p>
        </w:tc>
        <w:tc>
          <w:tcPr>
            <w:tcW w:w="0" w:type="auto"/>
          </w:tcPr>
          <w:p w14:paraId="13598AA7" w14:textId="77777777" w:rsidR="005A2CAF" w:rsidRPr="000A7863" w:rsidRDefault="005A2CAF" w:rsidP="00314EC8">
            <w:pPr>
              <w:spacing w:after="240"/>
              <w:rPr>
                <w:b/>
                <w:bCs/>
              </w:rPr>
            </w:pPr>
            <w:r w:rsidRPr="000A7863">
              <w:rPr>
                <w:b/>
                <w:bCs/>
              </w:rPr>
              <w:t>Allele Functional Term*</w:t>
            </w:r>
          </w:p>
        </w:tc>
        <w:tc>
          <w:tcPr>
            <w:tcW w:w="0" w:type="auto"/>
          </w:tcPr>
          <w:p w14:paraId="6D28D34D" w14:textId="77777777" w:rsidR="005A2CAF" w:rsidRPr="000A7863" w:rsidRDefault="005A2CAF" w:rsidP="00314EC8">
            <w:pPr>
              <w:spacing w:after="240"/>
              <w:rPr>
                <w:b/>
                <w:bCs/>
              </w:rPr>
            </w:pPr>
            <w:r w:rsidRPr="000A7863">
              <w:rPr>
                <w:b/>
                <w:bCs/>
              </w:rPr>
              <w:t>Functional Definition</w:t>
            </w:r>
          </w:p>
        </w:tc>
        <w:tc>
          <w:tcPr>
            <w:tcW w:w="0" w:type="auto"/>
          </w:tcPr>
          <w:p w14:paraId="523F185F" w14:textId="77777777" w:rsidR="005A2CAF" w:rsidRPr="000A7863" w:rsidRDefault="005A2CAF" w:rsidP="00314EC8">
            <w:pPr>
              <w:spacing w:after="240"/>
              <w:rPr>
                <w:b/>
                <w:bCs/>
              </w:rPr>
            </w:pPr>
            <w:r w:rsidRPr="000A7863">
              <w:rPr>
                <w:b/>
                <w:bCs/>
              </w:rPr>
              <w:t>Considerations for diplotype/phenotype that may inform functional assignments</w:t>
            </w:r>
          </w:p>
        </w:tc>
        <w:tc>
          <w:tcPr>
            <w:tcW w:w="0" w:type="auto"/>
          </w:tcPr>
          <w:p w14:paraId="5996E7D3" w14:textId="77777777" w:rsidR="005A2CAF" w:rsidRPr="000A7863" w:rsidRDefault="005A2CAF" w:rsidP="00314EC8">
            <w:pPr>
              <w:spacing w:after="240"/>
              <w:rPr>
                <w:b/>
                <w:bCs/>
              </w:rPr>
            </w:pPr>
            <w:r w:rsidRPr="000A7863">
              <w:rPr>
                <w:b/>
                <w:bCs/>
              </w:rPr>
              <w:t>Example</w:t>
            </w:r>
          </w:p>
        </w:tc>
      </w:tr>
      <w:tr w:rsidR="005A2CAF" w14:paraId="4266F8F3" w14:textId="77777777" w:rsidTr="000A7863">
        <w:tc>
          <w:tcPr>
            <w:tcW w:w="0" w:type="auto"/>
            <w:vMerge w:val="restart"/>
          </w:tcPr>
          <w:p w14:paraId="02A9AE4B" w14:textId="77777777" w:rsidR="005A2CAF" w:rsidRDefault="005A2CAF" w:rsidP="00314EC8">
            <w:pPr>
              <w:spacing w:after="240"/>
            </w:pPr>
            <w:r w:rsidRPr="008402A4">
              <w:t>Allele Clinical Functional Status-pharmacogenes based on</w:t>
            </w:r>
            <w:r>
              <w:t xml:space="preserve"> drug metabolizing</w:t>
            </w:r>
            <w:r w:rsidRPr="008402A4">
              <w:t xml:space="preserve"> enzymes</w:t>
            </w:r>
          </w:p>
        </w:tc>
        <w:tc>
          <w:tcPr>
            <w:tcW w:w="0" w:type="auto"/>
          </w:tcPr>
          <w:p w14:paraId="42901843" w14:textId="77777777" w:rsidR="005A2CAF" w:rsidRDefault="005A2CAF" w:rsidP="00314EC8">
            <w:pPr>
              <w:spacing w:after="240"/>
            </w:pPr>
            <w:r>
              <w:t>Increased Function</w:t>
            </w:r>
          </w:p>
        </w:tc>
        <w:tc>
          <w:tcPr>
            <w:tcW w:w="0" w:type="auto"/>
          </w:tcPr>
          <w:p w14:paraId="2CFF91D8" w14:textId="77777777" w:rsidR="005A2CAF" w:rsidRDefault="005A2CAF" w:rsidP="00314EC8">
            <w:pPr>
              <w:spacing w:after="240"/>
            </w:pPr>
            <w:r>
              <w:t>Rapid acetylation function</w:t>
            </w:r>
          </w:p>
        </w:tc>
        <w:tc>
          <w:tcPr>
            <w:tcW w:w="0" w:type="auto"/>
          </w:tcPr>
          <w:p w14:paraId="638ACB3B" w14:textId="15C80134" w:rsidR="005A2CAF" w:rsidRDefault="005A2CAF" w:rsidP="00314EC8">
            <w:pPr>
              <w:spacing w:after="240"/>
            </w:pPr>
            <w:r w:rsidRPr="00BD43C7">
              <w:t xml:space="preserve">When both alleles have increased function, the </w:t>
            </w:r>
            <w:r>
              <w:t xml:space="preserve">acetylator </w:t>
            </w:r>
            <w:r w:rsidRPr="00BD43C7">
              <w:t xml:space="preserve">phenotype of the patient is </w:t>
            </w:r>
            <w:r>
              <w:t>increased relative to intermediate or poor</w:t>
            </w:r>
            <w:r w:rsidRPr="00BD43C7">
              <w:t xml:space="preserve"> metabolizer</w:t>
            </w:r>
            <w:r>
              <w:t>s</w:t>
            </w:r>
            <w:r w:rsidRPr="00BD43C7">
              <w:t xml:space="preserve"> warranting different categorization (e.g. “rapid metabolizer”). </w:t>
            </w:r>
            <w:r>
              <w:t>For NAT2 there is no</w:t>
            </w:r>
            <w:r w:rsidRPr="00BD43C7">
              <w:t xml:space="preserve"> “normal metabolizer” phenotype</w:t>
            </w:r>
            <w:r>
              <w:t xml:space="preserve"> owing to the distribution of NAT2 acetylation activity globally.</w:t>
            </w:r>
          </w:p>
        </w:tc>
        <w:tc>
          <w:tcPr>
            <w:tcW w:w="0" w:type="auto"/>
          </w:tcPr>
          <w:p w14:paraId="5EA38660" w14:textId="77777777" w:rsidR="005A2CAF" w:rsidRPr="00E6788D" w:rsidRDefault="005A2CAF" w:rsidP="00314EC8">
            <w:pPr>
              <w:spacing w:after="240"/>
              <w:rPr>
                <w:i/>
                <w:iCs/>
              </w:rPr>
            </w:pPr>
            <w:r w:rsidRPr="00E6788D">
              <w:rPr>
                <w:i/>
                <w:iCs/>
              </w:rPr>
              <w:t>NAT2*4</w:t>
            </w:r>
          </w:p>
        </w:tc>
      </w:tr>
      <w:tr w:rsidR="005A2CAF" w14:paraId="758ADF36" w14:textId="77777777" w:rsidTr="000A7863">
        <w:tc>
          <w:tcPr>
            <w:tcW w:w="0" w:type="auto"/>
            <w:vMerge/>
          </w:tcPr>
          <w:p w14:paraId="03696796" w14:textId="77777777" w:rsidR="005A2CAF" w:rsidRDefault="005A2CAF" w:rsidP="00314EC8">
            <w:pPr>
              <w:spacing w:after="240"/>
            </w:pPr>
          </w:p>
        </w:tc>
        <w:tc>
          <w:tcPr>
            <w:tcW w:w="0" w:type="auto"/>
          </w:tcPr>
          <w:p w14:paraId="7DB788C8" w14:textId="77777777" w:rsidR="005A2CAF" w:rsidRDefault="005A2CAF" w:rsidP="00314EC8">
            <w:pPr>
              <w:spacing w:after="240"/>
            </w:pPr>
            <w:r>
              <w:t>Decreased Function</w:t>
            </w:r>
          </w:p>
        </w:tc>
        <w:tc>
          <w:tcPr>
            <w:tcW w:w="0" w:type="auto"/>
          </w:tcPr>
          <w:p w14:paraId="05074FB4" w14:textId="77777777" w:rsidR="005A2CAF" w:rsidRDefault="005A2CAF" w:rsidP="00314EC8">
            <w:pPr>
              <w:spacing w:after="240"/>
            </w:pPr>
            <w:r>
              <w:t>Slow acetylation function</w:t>
            </w:r>
          </w:p>
        </w:tc>
        <w:tc>
          <w:tcPr>
            <w:tcW w:w="0" w:type="auto"/>
          </w:tcPr>
          <w:p w14:paraId="0489675D" w14:textId="77777777" w:rsidR="005A2CAF" w:rsidRDefault="005A2CAF" w:rsidP="00314EC8">
            <w:pPr>
              <w:spacing w:after="240"/>
            </w:pPr>
            <w:r w:rsidRPr="00FC0F84">
              <w:t xml:space="preserve">When patients are homozygous for decreased function alleles, or when patients have one decreased function allele and one </w:t>
            </w:r>
            <w:r>
              <w:t>increased</w:t>
            </w:r>
            <w:r w:rsidRPr="00FC0F84">
              <w:t xml:space="preserve"> function allele, the phenotype of such a person is different compared</w:t>
            </w:r>
            <w:r>
              <w:t xml:space="preserve"> </w:t>
            </w:r>
            <w:r w:rsidRPr="00FC0F84">
              <w:t xml:space="preserve">to a patient who is homozygous for </w:t>
            </w:r>
            <w:r>
              <w:t>increased</w:t>
            </w:r>
            <w:r w:rsidRPr="00FC0F84">
              <w:t xml:space="preserve"> function </w:t>
            </w:r>
            <w:r>
              <w:t>alleles.</w:t>
            </w:r>
          </w:p>
        </w:tc>
        <w:tc>
          <w:tcPr>
            <w:tcW w:w="0" w:type="auto"/>
          </w:tcPr>
          <w:p w14:paraId="264F0C64" w14:textId="77777777" w:rsidR="005A2CAF" w:rsidRPr="002268FA" w:rsidRDefault="005A2CAF" w:rsidP="00314EC8">
            <w:pPr>
              <w:spacing w:after="240"/>
              <w:rPr>
                <w:i/>
                <w:iCs/>
              </w:rPr>
            </w:pPr>
            <w:r w:rsidRPr="002268FA">
              <w:rPr>
                <w:i/>
                <w:iCs/>
              </w:rPr>
              <w:t>NAT2*5</w:t>
            </w:r>
          </w:p>
          <w:p w14:paraId="419B153F" w14:textId="77777777" w:rsidR="005A2CAF" w:rsidRDefault="005A2CAF" w:rsidP="00314EC8">
            <w:pPr>
              <w:spacing w:after="240"/>
            </w:pPr>
            <w:r w:rsidRPr="002268FA">
              <w:rPr>
                <w:i/>
                <w:iCs/>
              </w:rPr>
              <w:t>NAT2*14</w:t>
            </w:r>
          </w:p>
        </w:tc>
      </w:tr>
      <w:tr w:rsidR="005A2CAF" w14:paraId="5BE135C8" w14:textId="77777777" w:rsidTr="000A7863">
        <w:tc>
          <w:tcPr>
            <w:tcW w:w="0" w:type="auto"/>
            <w:vMerge/>
          </w:tcPr>
          <w:p w14:paraId="6BA205D6" w14:textId="77777777" w:rsidR="005A2CAF" w:rsidRDefault="005A2CAF" w:rsidP="00314EC8">
            <w:pPr>
              <w:spacing w:after="240"/>
            </w:pPr>
          </w:p>
        </w:tc>
        <w:tc>
          <w:tcPr>
            <w:tcW w:w="0" w:type="auto"/>
          </w:tcPr>
          <w:p w14:paraId="41C6E03F" w14:textId="77777777" w:rsidR="005A2CAF" w:rsidRDefault="005A2CAF" w:rsidP="00314EC8">
            <w:pPr>
              <w:spacing w:after="240"/>
            </w:pPr>
            <w:r>
              <w:t>Unknown Function</w:t>
            </w:r>
          </w:p>
        </w:tc>
        <w:tc>
          <w:tcPr>
            <w:tcW w:w="0" w:type="auto"/>
          </w:tcPr>
          <w:p w14:paraId="0595B452" w14:textId="77777777" w:rsidR="005A2CAF" w:rsidRDefault="005A2CAF" w:rsidP="00314EC8">
            <w:pPr>
              <w:spacing w:after="240"/>
            </w:pPr>
            <w:r w:rsidRPr="00A94670">
              <w:t>No literature describing function, or the allele is novel</w:t>
            </w:r>
          </w:p>
        </w:tc>
        <w:tc>
          <w:tcPr>
            <w:tcW w:w="0" w:type="auto"/>
          </w:tcPr>
          <w:p w14:paraId="5B3362B0" w14:textId="77777777" w:rsidR="005A2CAF" w:rsidRDefault="005A2CAF" w:rsidP="00314EC8">
            <w:pPr>
              <w:spacing w:after="240"/>
            </w:pPr>
            <w:r>
              <w:t>N/A</w:t>
            </w:r>
          </w:p>
        </w:tc>
        <w:tc>
          <w:tcPr>
            <w:tcW w:w="0" w:type="auto"/>
          </w:tcPr>
          <w:p w14:paraId="5D5DDCEB" w14:textId="77777777" w:rsidR="005A2CAF" w:rsidRPr="007C450A" w:rsidRDefault="005A2CAF" w:rsidP="00314EC8">
            <w:pPr>
              <w:spacing w:after="240"/>
              <w:rPr>
                <w:i/>
                <w:iCs/>
              </w:rPr>
            </w:pPr>
            <w:r w:rsidRPr="007C450A">
              <w:rPr>
                <w:i/>
                <w:iCs/>
              </w:rPr>
              <w:t>NAT2*55</w:t>
            </w:r>
          </w:p>
          <w:p w14:paraId="74F0FB2F" w14:textId="77777777" w:rsidR="005A2CAF" w:rsidRDefault="005A2CAF" w:rsidP="00314EC8">
            <w:pPr>
              <w:spacing w:after="240"/>
            </w:pPr>
            <w:r w:rsidRPr="007C450A">
              <w:rPr>
                <w:i/>
                <w:iCs/>
              </w:rPr>
              <w:t>NAT2*60</w:t>
            </w:r>
          </w:p>
        </w:tc>
      </w:tr>
      <w:tr w:rsidR="005A2CAF" w14:paraId="4A4E16FF" w14:textId="77777777" w:rsidTr="000A7863">
        <w:tc>
          <w:tcPr>
            <w:tcW w:w="0" w:type="auto"/>
            <w:vMerge/>
          </w:tcPr>
          <w:p w14:paraId="69D90F4C" w14:textId="77777777" w:rsidR="005A2CAF" w:rsidRDefault="005A2CAF" w:rsidP="00314EC8">
            <w:pPr>
              <w:spacing w:after="240"/>
            </w:pPr>
          </w:p>
        </w:tc>
        <w:tc>
          <w:tcPr>
            <w:tcW w:w="0" w:type="auto"/>
          </w:tcPr>
          <w:p w14:paraId="472CC80D" w14:textId="77777777" w:rsidR="005A2CAF" w:rsidRDefault="005A2CAF" w:rsidP="00314EC8">
            <w:pPr>
              <w:spacing w:after="240"/>
            </w:pPr>
            <w:r>
              <w:t>Uncertain Function</w:t>
            </w:r>
          </w:p>
        </w:tc>
        <w:tc>
          <w:tcPr>
            <w:tcW w:w="0" w:type="auto"/>
          </w:tcPr>
          <w:p w14:paraId="1C0374B7" w14:textId="77777777" w:rsidR="005A2CAF" w:rsidRDefault="005A2CAF" w:rsidP="00314EC8">
            <w:pPr>
              <w:spacing w:after="240"/>
            </w:pPr>
            <w:r w:rsidRPr="00094C50">
              <w:t>Literature supporting function is insufficient, conflicting, or weak</w:t>
            </w:r>
          </w:p>
        </w:tc>
        <w:tc>
          <w:tcPr>
            <w:tcW w:w="0" w:type="auto"/>
          </w:tcPr>
          <w:p w14:paraId="4BA149BA" w14:textId="77777777" w:rsidR="005A2CAF" w:rsidRDefault="005A2CAF" w:rsidP="00314EC8">
            <w:pPr>
              <w:spacing w:after="240"/>
            </w:pPr>
            <w:r>
              <w:t>N/A</w:t>
            </w:r>
          </w:p>
        </w:tc>
        <w:tc>
          <w:tcPr>
            <w:tcW w:w="0" w:type="auto"/>
          </w:tcPr>
          <w:p w14:paraId="059635B9" w14:textId="77777777" w:rsidR="005A2CAF" w:rsidRPr="00B52348" w:rsidRDefault="005A2CAF" w:rsidP="00314EC8">
            <w:pPr>
              <w:spacing w:after="240"/>
              <w:rPr>
                <w:i/>
                <w:iCs/>
              </w:rPr>
            </w:pPr>
            <w:r w:rsidRPr="00B52348">
              <w:rPr>
                <w:i/>
                <w:iCs/>
              </w:rPr>
              <w:t>NAT2*10</w:t>
            </w:r>
          </w:p>
          <w:p w14:paraId="6E97A2D1" w14:textId="77777777" w:rsidR="005A2CAF" w:rsidRDefault="005A2CAF" w:rsidP="00314EC8">
            <w:pPr>
              <w:spacing w:after="240"/>
            </w:pPr>
            <w:r w:rsidRPr="00B52348">
              <w:rPr>
                <w:i/>
                <w:iCs/>
              </w:rPr>
              <w:t>NAT2*27</w:t>
            </w:r>
          </w:p>
        </w:tc>
      </w:tr>
    </w:tbl>
    <w:p w14:paraId="7CADCB2F" w14:textId="2B0B0205" w:rsidR="00B722B5" w:rsidRDefault="00B722B5" w:rsidP="00B722B5">
      <w:pPr>
        <w:pStyle w:val="Heading1"/>
      </w:pPr>
      <w:bookmarkStart w:id="10" w:name="_Toc202350504"/>
      <w:r>
        <w:t>Table S</w:t>
      </w:r>
      <w:r w:rsidR="00BB6B01">
        <w:t>3</w:t>
      </w:r>
      <w:r>
        <w:t xml:space="preserve">. </w:t>
      </w:r>
      <w:r w:rsidRPr="003E6E24">
        <w:rPr>
          <w:i/>
          <w:iCs/>
        </w:rPr>
        <w:t>NAT2</w:t>
      </w:r>
      <w:r>
        <w:t xml:space="preserve"> N</w:t>
      </w:r>
      <w:r w:rsidR="003658E9">
        <w:t>o</w:t>
      </w:r>
      <w:r>
        <w:t>menclature Survey</w:t>
      </w:r>
      <w:bookmarkEnd w:id="10"/>
      <w:r w:rsidR="00E75D4E">
        <w:t xml:space="preserve"> </w:t>
      </w:r>
    </w:p>
    <w:tbl>
      <w:tblPr>
        <w:tblStyle w:val="TableGrid"/>
        <w:tblW w:w="0" w:type="auto"/>
        <w:tblLook w:val="04A0" w:firstRow="1" w:lastRow="0" w:firstColumn="1" w:lastColumn="0" w:noHBand="0" w:noVBand="1"/>
      </w:tblPr>
      <w:tblGrid>
        <w:gridCol w:w="2158"/>
        <w:gridCol w:w="2158"/>
        <w:gridCol w:w="2158"/>
        <w:gridCol w:w="2158"/>
        <w:gridCol w:w="2158"/>
      </w:tblGrid>
      <w:tr w:rsidR="00C92E3F" w14:paraId="6A4FD583" w14:textId="77777777" w:rsidTr="00614841">
        <w:tc>
          <w:tcPr>
            <w:tcW w:w="2158" w:type="dxa"/>
          </w:tcPr>
          <w:p w14:paraId="7B2A1580" w14:textId="3E8BC185" w:rsidR="00C92E3F" w:rsidRPr="00614841" w:rsidRDefault="00C92E3F" w:rsidP="00B722B5">
            <w:pPr>
              <w:rPr>
                <w:b/>
                <w:bCs/>
              </w:rPr>
            </w:pPr>
            <w:r w:rsidRPr="00614841">
              <w:rPr>
                <w:b/>
                <w:bCs/>
              </w:rPr>
              <w:t>CPIC terms predicted phenotype</w:t>
            </w:r>
          </w:p>
        </w:tc>
        <w:tc>
          <w:tcPr>
            <w:tcW w:w="2158" w:type="dxa"/>
          </w:tcPr>
          <w:p w14:paraId="1887B6E7" w14:textId="1BE60D9E" w:rsidR="00C92E3F" w:rsidRPr="00614841" w:rsidRDefault="00C92E3F" w:rsidP="00B722B5">
            <w:pPr>
              <w:rPr>
                <w:b/>
                <w:bCs/>
              </w:rPr>
            </w:pPr>
            <w:r w:rsidRPr="00614841">
              <w:rPr>
                <w:b/>
                <w:bCs/>
              </w:rPr>
              <w:t>Acetylator Phenotype</w:t>
            </w:r>
          </w:p>
        </w:tc>
        <w:tc>
          <w:tcPr>
            <w:tcW w:w="2158" w:type="dxa"/>
          </w:tcPr>
          <w:p w14:paraId="298088DF" w14:textId="27D52B3E" w:rsidR="00C92E3F" w:rsidRPr="00614841" w:rsidRDefault="00C92E3F" w:rsidP="00B722B5">
            <w:pPr>
              <w:rPr>
                <w:b/>
                <w:bCs/>
                <w:u w:val="single"/>
              </w:rPr>
            </w:pPr>
            <w:r w:rsidRPr="00614841">
              <w:rPr>
                <w:b/>
                <w:bCs/>
                <w:u w:val="single"/>
              </w:rPr>
              <w:t>Option 1 – CPIC Terms</w:t>
            </w:r>
          </w:p>
        </w:tc>
        <w:tc>
          <w:tcPr>
            <w:tcW w:w="2158" w:type="dxa"/>
          </w:tcPr>
          <w:p w14:paraId="430F9B65" w14:textId="45F26B80" w:rsidR="00C92E3F" w:rsidRPr="00614841" w:rsidRDefault="00C92E3F" w:rsidP="00B722B5">
            <w:pPr>
              <w:rPr>
                <w:b/>
                <w:bCs/>
                <w:u w:val="single"/>
              </w:rPr>
            </w:pPr>
            <w:r w:rsidRPr="00614841">
              <w:rPr>
                <w:b/>
                <w:bCs/>
                <w:u w:val="single"/>
              </w:rPr>
              <w:t>Option 2 – Legacy terms</w:t>
            </w:r>
          </w:p>
        </w:tc>
        <w:tc>
          <w:tcPr>
            <w:tcW w:w="2158" w:type="dxa"/>
          </w:tcPr>
          <w:p w14:paraId="48C93700" w14:textId="7B6F95DC" w:rsidR="00C92E3F" w:rsidRPr="00614841" w:rsidRDefault="00C92E3F" w:rsidP="00B722B5">
            <w:pPr>
              <w:rPr>
                <w:b/>
                <w:bCs/>
              </w:rPr>
            </w:pPr>
            <w:r w:rsidRPr="00614841">
              <w:rPr>
                <w:b/>
                <w:bCs/>
              </w:rPr>
              <w:t xml:space="preserve">Examples of NAT2 </w:t>
            </w:r>
            <w:proofErr w:type="spellStart"/>
            <w:r w:rsidRPr="00614841">
              <w:rPr>
                <w:b/>
                <w:bCs/>
              </w:rPr>
              <w:t>diplotypes</w:t>
            </w:r>
            <w:proofErr w:type="spellEnd"/>
          </w:p>
        </w:tc>
      </w:tr>
      <w:tr w:rsidR="00C92E3F" w14:paraId="25FB42B5" w14:textId="77777777" w:rsidTr="00614841">
        <w:tc>
          <w:tcPr>
            <w:tcW w:w="2158" w:type="dxa"/>
          </w:tcPr>
          <w:p w14:paraId="13BEEC9E" w14:textId="52CC87F1" w:rsidR="00C92E3F" w:rsidRPr="00614841" w:rsidRDefault="00C92E3F" w:rsidP="00B722B5">
            <w:pPr>
              <w:rPr>
                <w:b/>
                <w:bCs/>
              </w:rPr>
            </w:pPr>
            <w:r w:rsidRPr="00614841">
              <w:rPr>
                <w:b/>
                <w:bCs/>
              </w:rPr>
              <w:t>NAT2 rapid metabolizer (RM)</w:t>
            </w:r>
          </w:p>
        </w:tc>
        <w:tc>
          <w:tcPr>
            <w:tcW w:w="2158" w:type="dxa"/>
          </w:tcPr>
          <w:p w14:paraId="5A5C3B8D" w14:textId="77777777" w:rsidR="00C92E3F" w:rsidRDefault="00C92E3F" w:rsidP="00B722B5">
            <w:r>
              <w:t>Rapid acetylator</w:t>
            </w:r>
          </w:p>
          <w:p w14:paraId="1E881DB3" w14:textId="3DAA54BB" w:rsidR="00C92E3F" w:rsidRDefault="00C92E3F" w:rsidP="00B722B5"/>
        </w:tc>
        <w:tc>
          <w:tcPr>
            <w:tcW w:w="2158" w:type="dxa"/>
          </w:tcPr>
          <w:p w14:paraId="66E82D9F" w14:textId="5011FE0F" w:rsidR="00C92E3F" w:rsidRDefault="00C92E3F" w:rsidP="00B722B5">
            <w:r>
              <w:t xml:space="preserve">An individual carrying two </w:t>
            </w:r>
            <w:r w:rsidRPr="00651941">
              <w:rPr>
                <w:color w:val="FF0000"/>
              </w:rPr>
              <w:t>increased</w:t>
            </w:r>
            <w:r>
              <w:t xml:space="preserve"> function alleles</w:t>
            </w:r>
          </w:p>
        </w:tc>
        <w:tc>
          <w:tcPr>
            <w:tcW w:w="2158" w:type="dxa"/>
          </w:tcPr>
          <w:p w14:paraId="742B258B" w14:textId="12D52B57" w:rsidR="00C92E3F" w:rsidRDefault="00C92E3F" w:rsidP="00B722B5">
            <w:r>
              <w:t xml:space="preserve">An individual carrying two </w:t>
            </w:r>
            <w:r w:rsidRPr="00C92E3F">
              <w:rPr>
                <w:color w:val="FF0000"/>
              </w:rPr>
              <w:t xml:space="preserve">rapid </w:t>
            </w:r>
            <w:r>
              <w:t>function alleles</w:t>
            </w:r>
          </w:p>
        </w:tc>
        <w:tc>
          <w:tcPr>
            <w:tcW w:w="2158" w:type="dxa"/>
          </w:tcPr>
          <w:p w14:paraId="364C3E35" w14:textId="59C2EBB7" w:rsidR="00C92E3F" w:rsidRPr="00FE332F" w:rsidRDefault="00FE332F" w:rsidP="00B722B5">
            <w:pPr>
              <w:rPr>
                <w:i/>
                <w:iCs/>
              </w:rPr>
            </w:pPr>
            <w:r>
              <w:rPr>
                <w:i/>
                <w:iCs/>
              </w:rPr>
              <w:t>*1/*4, *4/*4</w:t>
            </w:r>
          </w:p>
        </w:tc>
      </w:tr>
      <w:tr w:rsidR="00C92E3F" w14:paraId="052955F0" w14:textId="77777777" w:rsidTr="00614841">
        <w:tc>
          <w:tcPr>
            <w:tcW w:w="2158" w:type="dxa"/>
          </w:tcPr>
          <w:p w14:paraId="333AF039" w14:textId="6E5C5489" w:rsidR="00C92E3F" w:rsidRPr="00614841" w:rsidRDefault="00C92E3F" w:rsidP="00B722B5">
            <w:pPr>
              <w:rPr>
                <w:b/>
                <w:bCs/>
              </w:rPr>
            </w:pPr>
            <w:r w:rsidRPr="00614841">
              <w:rPr>
                <w:b/>
                <w:bCs/>
              </w:rPr>
              <w:t>NAT2 intermediate metabolizer (IM)</w:t>
            </w:r>
          </w:p>
        </w:tc>
        <w:tc>
          <w:tcPr>
            <w:tcW w:w="2158" w:type="dxa"/>
          </w:tcPr>
          <w:p w14:paraId="771E85B5" w14:textId="33CF9ED6" w:rsidR="00C92E3F" w:rsidRDefault="00C92E3F" w:rsidP="00B722B5">
            <w:r>
              <w:t>Intermediate acetylator</w:t>
            </w:r>
          </w:p>
        </w:tc>
        <w:tc>
          <w:tcPr>
            <w:tcW w:w="2158" w:type="dxa"/>
          </w:tcPr>
          <w:p w14:paraId="68FC6A23" w14:textId="209D6504" w:rsidR="00C92E3F" w:rsidRDefault="00FE332F" w:rsidP="00B722B5">
            <w:r>
              <w:t xml:space="preserve">An individual carrying one </w:t>
            </w:r>
            <w:r w:rsidRPr="00FE332F">
              <w:rPr>
                <w:color w:val="FF0000"/>
              </w:rPr>
              <w:t xml:space="preserve">increased </w:t>
            </w:r>
            <w:r>
              <w:t xml:space="preserve">function allele and one </w:t>
            </w:r>
            <w:r w:rsidRPr="00FE332F">
              <w:rPr>
                <w:color w:val="FF0000"/>
              </w:rPr>
              <w:t xml:space="preserve">decreased </w:t>
            </w:r>
            <w:r>
              <w:t>function allele</w:t>
            </w:r>
          </w:p>
        </w:tc>
        <w:tc>
          <w:tcPr>
            <w:tcW w:w="2158" w:type="dxa"/>
          </w:tcPr>
          <w:p w14:paraId="3680A472" w14:textId="6A116D52" w:rsidR="00C92E3F" w:rsidRDefault="00E75D4E" w:rsidP="00B722B5">
            <w:r>
              <w:t xml:space="preserve">An individual carrying one </w:t>
            </w:r>
            <w:r>
              <w:rPr>
                <w:color w:val="FF0000"/>
              </w:rPr>
              <w:t>rapid</w:t>
            </w:r>
            <w:r w:rsidRPr="00FE332F">
              <w:rPr>
                <w:color w:val="FF0000"/>
              </w:rPr>
              <w:t xml:space="preserve"> </w:t>
            </w:r>
            <w:r>
              <w:t xml:space="preserve">function allele and one </w:t>
            </w:r>
            <w:r>
              <w:rPr>
                <w:color w:val="FF0000"/>
              </w:rPr>
              <w:t>slow</w:t>
            </w:r>
            <w:r w:rsidRPr="00FE332F">
              <w:rPr>
                <w:color w:val="FF0000"/>
              </w:rPr>
              <w:t xml:space="preserve"> </w:t>
            </w:r>
            <w:r>
              <w:t>function allele</w:t>
            </w:r>
          </w:p>
        </w:tc>
        <w:tc>
          <w:tcPr>
            <w:tcW w:w="2158" w:type="dxa"/>
          </w:tcPr>
          <w:p w14:paraId="00317A31" w14:textId="7E0675D9" w:rsidR="00C92E3F" w:rsidRPr="00FE332F" w:rsidRDefault="00E75D4E" w:rsidP="00B722B5">
            <w:pPr>
              <w:rPr>
                <w:i/>
                <w:iCs/>
              </w:rPr>
            </w:pPr>
            <w:r>
              <w:rPr>
                <w:i/>
                <w:iCs/>
              </w:rPr>
              <w:t>*1/*5, *4/*6</w:t>
            </w:r>
          </w:p>
        </w:tc>
      </w:tr>
      <w:tr w:rsidR="00C92E3F" w14:paraId="33C6DE7F" w14:textId="77777777" w:rsidTr="00614841">
        <w:tc>
          <w:tcPr>
            <w:tcW w:w="2158" w:type="dxa"/>
          </w:tcPr>
          <w:p w14:paraId="1DD28B25" w14:textId="5EA079AC" w:rsidR="00C92E3F" w:rsidRPr="00614841" w:rsidRDefault="00C92E3F" w:rsidP="00B722B5">
            <w:pPr>
              <w:rPr>
                <w:b/>
                <w:bCs/>
              </w:rPr>
            </w:pPr>
            <w:r w:rsidRPr="00614841">
              <w:rPr>
                <w:b/>
                <w:bCs/>
              </w:rPr>
              <w:t>NAT2 poor metabolizer (PM)</w:t>
            </w:r>
          </w:p>
        </w:tc>
        <w:tc>
          <w:tcPr>
            <w:tcW w:w="2158" w:type="dxa"/>
          </w:tcPr>
          <w:p w14:paraId="3130B9B5" w14:textId="597CDEE3" w:rsidR="00C92E3F" w:rsidRDefault="00C92E3F" w:rsidP="00B722B5">
            <w:r>
              <w:t>Slow acetylator</w:t>
            </w:r>
          </w:p>
        </w:tc>
        <w:tc>
          <w:tcPr>
            <w:tcW w:w="2158" w:type="dxa"/>
          </w:tcPr>
          <w:p w14:paraId="35512F4E" w14:textId="6DDC2B19" w:rsidR="00C92E3F" w:rsidRDefault="00651941" w:rsidP="00B722B5">
            <w:r>
              <w:t xml:space="preserve">An individual carrying two </w:t>
            </w:r>
            <w:r>
              <w:rPr>
                <w:color w:val="FF0000"/>
              </w:rPr>
              <w:t>decreased</w:t>
            </w:r>
            <w:r>
              <w:t xml:space="preserve"> function alleles</w:t>
            </w:r>
          </w:p>
        </w:tc>
        <w:tc>
          <w:tcPr>
            <w:tcW w:w="2158" w:type="dxa"/>
          </w:tcPr>
          <w:p w14:paraId="06909DAA" w14:textId="56F609BC" w:rsidR="00C92E3F" w:rsidRDefault="00651941" w:rsidP="00B722B5">
            <w:r>
              <w:t xml:space="preserve">An individual carrying two </w:t>
            </w:r>
            <w:r>
              <w:rPr>
                <w:color w:val="FF0000"/>
              </w:rPr>
              <w:t>slow</w:t>
            </w:r>
            <w:r>
              <w:t xml:space="preserve"> function alleles</w:t>
            </w:r>
          </w:p>
        </w:tc>
        <w:tc>
          <w:tcPr>
            <w:tcW w:w="2158" w:type="dxa"/>
          </w:tcPr>
          <w:p w14:paraId="74FD482D" w14:textId="06532AF0" w:rsidR="00C92E3F" w:rsidRPr="00FE332F" w:rsidRDefault="00651941" w:rsidP="00B722B5">
            <w:pPr>
              <w:rPr>
                <w:i/>
                <w:iCs/>
              </w:rPr>
            </w:pPr>
            <w:r>
              <w:rPr>
                <w:i/>
                <w:iCs/>
              </w:rPr>
              <w:t>*5/*5, *5/*6</w:t>
            </w:r>
          </w:p>
        </w:tc>
      </w:tr>
      <w:tr w:rsidR="00C92E3F" w14:paraId="6DD54C9A" w14:textId="77777777" w:rsidTr="00614841">
        <w:tc>
          <w:tcPr>
            <w:tcW w:w="2158" w:type="dxa"/>
          </w:tcPr>
          <w:p w14:paraId="6F527ED5" w14:textId="72BBD404" w:rsidR="00C92E3F" w:rsidRPr="00614841" w:rsidRDefault="00C92E3F" w:rsidP="00B722B5">
            <w:pPr>
              <w:rPr>
                <w:b/>
                <w:bCs/>
              </w:rPr>
            </w:pPr>
            <w:r w:rsidRPr="00614841">
              <w:rPr>
                <w:b/>
                <w:bCs/>
              </w:rPr>
              <w:t>NAT2 indeterminate</w:t>
            </w:r>
          </w:p>
        </w:tc>
        <w:tc>
          <w:tcPr>
            <w:tcW w:w="2158" w:type="dxa"/>
          </w:tcPr>
          <w:p w14:paraId="4AD8A345" w14:textId="3C468ACF" w:rsidR="00C92E3F" w:rsidRDefault="00C92E3F" w:rsidP="00B722B5">
            <w:r>
              <w:t>NA</w:t>
            </w:r>
          </w:p>
        </w:tc>
        <w:tc>
          <w:tcPr>
            <w:tcW w:w="2158" w:type="dxa"/>
          </w:tcPr>
          <w:p w14:paraId="73FC6B80" w14:textId="4A73E373" w:rsidR="00C92E3F" w:rsidRDefault="00651941" w:rsidP="00B722B5">
            <w:r>
              <w:t>An individual carrying one or two uncertain or unknown function alleles</w:t>
            </w:r>
          </w:p>
        </w:tc>
        <w:tc>
          <w:tcPr>
            <w:tcW w:w="2158" w:type="dxa"/>
          </w:tcPr>
          <w:p w14:paraId="35B4FABF" w14:textId="2EA7F3C1" w:rsidR="00C92E3F" w:rsidRDefault="00651941" w:rsidP="00B722B5">
            <w:r>
              <w:t>An individual carrying one or two uncertain or unknown function alleles</w:t>
            </w:r>
          </w:p>
        </w:tc>
        <w:tc>
          <w:tcPr>
            <w:tcW w:w="2158" w:type="dxa"/>
          </w:tcPr>
          <w:p w14:paraId="7B0444EE" w14:textId="77777777" w:rsidR="00C92E3F" w:rsidRPr="00FE332F" w:rsidRDefault="00C92E3F" w:rsidP="00C40894">
            <w:pPr>
              <w:keepNext/>
              <w:rPr>
                <w:i/>
                <w:iCs/>
              </w:rPr>
            </w:pPr>
          </w:p>
        </w:tc>
      </w:tr>
    </w:tbl>
    <w:p w14:paraId="7EC401F5" w14:textId="425069E9" w:rsidR="00B722B5" w:rsidRPr="00C40894" w:rsidRDefault="00BB6B01" w:rsidP="00C40894">
      <w:pPr>
        <w:pStyle w:val="Caption"/>
        <w:rPr>
          <w:sz w:val="22"/>
          <w:szCs w:val="22"/>
        </w:rPr>
      </w:pPr>
      <w:r>
        <w:rPr>
          <w:sz w:val="22"/>
          <w:szCs w:val="22"/>
        </w:rPr>
        <w:t>Table S3</w:t>
      </w:r>
      <w:r w:rsidR="00C40894" w:rsidRPr="00C40894">
        <w:rPr>
          <w:sz w:val="22"/>
          <w:szCs w:val="22"/>
        </w:rPr>
        <w:t xml:space="preserve">. Response options for NAT2 nomenclature survey to PCEP members and guideline authors. </w:t>
      </w:r>
      <w:r w:rsidR="00995B58">
        <w:rPr>
          <w:sz w:val="22"/>
          <w:szCs w:val="22"/>
        </w:rPr>
        <w:t xml:space="preserve">Note that the CPIC member survey included only Option 1 for consideration. </w:t>
      </w:r>
      <w:r w:rsidR="00C40894" w:rsidRPr="00C40894">
        <w:rPr>
          <w:sz w:val="22"/>
          <w:szCs w:val="22"/>
        </w:rPr>
        <w:t>Terms</w:t>
      </w:r>
      <w:r w:rsidR="00C948DF">
        <w:rPr>
          <w:sz w:val="22"/>
          <w:szCs w:val="22"/>
        </w:rPr>
        <w:t xml:space="preserve"> that were</w:t>
      </w:r>
      <w:r w:rsidR="00C40894" w:rsidRPr="00C40894">
        <w:rPr>
          <w:sz w:val="22"/>
          <w:szCs w:val="22"/>
        </w:rPr>
        <w:t xml:space="preserve"> in question are highlighted in red font.</w:t>
      </w:r>
    </w:p>
    <w:p w14:paraId="156AF78A" w14:textId="01134C14" w:rsidR="00C40894" w:rsidRDefault="00C40894" w:rsidP="00053B3B">
      <w:pPr>
        <w:sectPr w:rsidR="00C40894" w:rsidSect="008D0726">
          <w:pgSz w:w="12240" w:h="15840"/>
          <w:pgMar w:top="720" w:right="720" w:bottom="720" w:left="720" w:header="720" w:footer="720" w:gutter="0"/>
          <w:cols w:space="720"/>
          <w:docGrid w:linePitch="360"/>
        </w:sectPr>
      </w:pPr>
    </w:p>
    <w:p w14:paraId="1142F3F3" w14:textId="70FDB2F2" w:rsidR="00111B0D" w:rsidRPr="00425823" w:rsidRDefault="00111B0D" w:rsidP="00532569">
      <w:pPr>
        <w:pStyle w:val="Heading1"/>
      </w:pPr>
    </w:p>
    <w:sectPr w:rsidR="00111B0D" w:rsidRPr="00425823" w:rsidSect="008D072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Tibben, Bailey" w:date="2025-04-09T09:42:00Z" w:initials="BT">
    <w:p w14:paraId="1303EB3D" w14:textId="77777777" w:rsidR="00532569" w:rsidRDefault="00532569" w:rsidP="00532569">
      <w:pPr>
        <w:pStyle w:val="CommentText"/>
      </w:pPr>
      <w:r>
        <w:rPr>
          <w:rStyle w:val="CommentReference"/>
        </w:rPr>
        <w:annotationRef/>
      </w:r>
      <w:r>
        <w:t>Placeholder. Working on figure to describe survey process</w:t>
      </w:r>
    </w:p>
  </w:comment>
  <w:comment w:id="6" w:author="Relling, Mary" w:date="2025-04-23T14:59:00Z" w:initials="MR">
    <w:p w14:paraId="18643E48" w14:textId="77777777" w:rsidR="00532569" w:rsidRDefault="00532569" w:rsidP="00532569">
      <w:pPr>
        <w:pStyle w:val="CommentText"/>
      </w:pPr>
      <w:r>
        <w:rPr>
          <w:rStyle w:val="CommentReference"/>
        </w:rPr>
        <w:annotationRef/>
      </w:r>
      <w:r>
        <w:t>OK good---right now can’t interpret!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03EB3D" w15:done="1"/>
  <w15:commentEx w15:paraId="18643E48" w15:paraIdParent="1303EB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276E3C" w16cex:dateUtc="2025-04-09T13:42:00Z"/>
  <w16cex:commentExtensible w16cex:durableId="4080C13A" w16cex:dateUtc="2025-04-23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03EB3D" w16cid:durableId="11276E3C"/>
  <w16cid:commentId w16cid:paraId="18643E48" w16cid:durableId="4080C1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D76A1"/>
    <w:multiLevelType w:val="hybridMultilevel"/>
    <w:tmpl w:val="4F248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843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bben, Bailey">
    <w15:presenceInfo w15:providerId="AD" w15:userId="S::btibben@stjude.org::4557f5eb-1d1f-40be-8374-4aa962c21fa8"/>
  </w15:person>
  <w15:person w15:author="Relling, Mary">
    <w15:presenceInfo w15:providerId="AD" w15:userId="S::mrelling@stjude.org::692c674c-ec66-41d7-ae6d-74145c9fa5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BE"/>
    <w:rsid w:val="000076B3"/>
    <w:rsid w:val="00024746"/>
    <w:rsid w:val="00045AE2"/>
    <w:rsid w:val="000470F6"/>
    <w:rsid w:val="00053B3B"/>
    <w:rsid w:val="0007275F"/>
    <w:rsid w:val="00081BFA"/>
    <w:rsid w:val="00086E1A"/>
    <w:rsid w:val="0009371B"/>
    <w:rsid w:val="000A2EFB"/>
    <w:rsid w:val="000A7863"/>
    <w:rsid w:val="000B5849"/>
    <w:rsid w:val="000C74C1"/>
    <w:rsid w:val="000E0885"/>
    <w:rsid w:val="000F48BE"/>
    <w:rsid w:val="000F51DA"/>
    <w:rsid w:val="00103C34"/>
    <w:rsid w:val="00111B0D"/>
    <w:rsid w:val="001245AD"/>
    <w:rsid w:val="00126881"/>
    <w:rsid w:val="001A67ED"/>
    <w:rsid w:val="001C101A"/>
    <w:rsid w:val="001C5C73"/>
    <w:rsid w:val="001E6EFD"/>
    <w:rsid w:val="001F15E7"/>
    <w:rsid w:val="00204D7D"/>
    <w:rsid w:val="00226866"/>
    <w:rsid w:val="002268FA"/>
    <w:rsid w:val="00235743"/>
    <w:rsid w:val="00242693"/>
    <w:rsid w:val="00262CBB"/>
    <w:rsid w:val="00267EDC"/>
    <w:rsid w:val="002725F0"/>
    <w:rsid w:val="002753B4"/>
    <w:rsid w:val="002937E6"/>
    <w:rsid w:val="002970ED"/>
    <w:rsid w:val="002A7AD7"/>
    <w:rsid w:val="002C4F36"/>
    <w:rsid w:val="002F3DBC"/>
    <w:rsid w:val="003006A8"/>
    <w:rsid w:val="00304A42"/>
    <w:rsid w:val="00345792"/>
    <w:rsid w:val="003658E9"/>
    <w:rsid w:val="0038454B"/>
    <w:rsid w:val="003B11EB"/>
    <w:rsid w:val="003E2AFF"/>
    <w:rsid w:val="003E445F"/>
    <w:rsid w:val="003E6E24"/>
    <w:rsid w:val="003E77B2"/>
    <w:rsid w:val="00425823"/>
    <w:rsid w:val="00427DBA"/>
    <w:rsid w:val="0043714D"/>
    <w:rsid w:val="0047587D"/>
    <w:rsid w:val="00485F4E"/>
    <w:rsid w:val="00487211"/>
    <w:rsid w:val="004A6F25"/>
    <w:rsid w:val="004A715C"/>
    <w:rsid w:val="004B5080"/>
    <w:rsid w:val="004C41C0"/>
    <w:rsid w:val="004C458E"/>
    <w:rsid w:val="004D4024"/>
    <w:rsid w:val="004E6378"/>
    <w:rsid w:val="0050362E"/>
    <w:rsid w:val="00504FF4"/>
    <w:rsid w:val="00532569"/>
    <w:rsid w:val="005431D8"/>
    <w:rsid w:val="00565CF9"/>
    <w:rsid w:val="00565E39"/>
    <w:rsid w:val="00570A45"/>
    <w:rsid w:val="0059544F"/>
    <w:rsid w:val="005A2CAF"/>
    <w:rsid w:val="005B011A"/>
    <w:rsid w:val="005C0803"/>
    <w:rsid w:val="005E3DD1"/>
    <w:rsid w:val="005E7FCE"/>
    <w:rsid w:val="005F111D"/>
    <w:rsid w:val="005F2F85"/>
    <w:rsid w:val="005F569E"/>
    <w:rsid w:val="00600251"/>
    <w:rsid w:val="00614841"/>
    <w:rsid w:val="0063004D"/>
    <w:rsid w:val="006374B1"/>
    <w:rsid w:val="0064308F"/>
    <w:rsid w:val="006448FA"/>
    <w:rsid w:val="006509C1"/>
    <w:rsid w:val="00651941"/>
    <w:rsid w:val="006636BE"/>
    <w:rsid w:val="00670491"/>
    <w:rsid w:val="00683FC1"/>
    <w:rsid w:val="00685590"/>
    <w:rsid w:val="006B221F"/>
    <w:rsid w:val="006E5C34"/>
    <w:rsid w:val="006E6C41"/>
    <w:rsid w:val="00717ED1"/>
    <w:rsid w:val="007267F8"/>
    <w:rsid w:val="007300B6"/>
    <w:rsid w:val="00734484"/>
    <w:rsid w:val="00756ABB"/>
    <w:rsid w:val="00773031"/>
    <w:rsid w:val="007C450A"/>
    <w:rsid w:val="007F327A"/>
    <w:rsid w:val="008208DB"/>
    <w:rsid w:val="0082340D"/>
    <w:rsid w:val="008259D4"/>
    <w:rsid w:val="00831385"/>
    <w:rsid w:val="00837C52"/>
    <w:rsid w:val="00841986"/>
    <w:rsid w:val="00850BD8"/>
    <w:rsid w:val="008573AD"/>
    <w:rsid w:val="008715DC"/>
    <w:rsid w:val="00872205"/>
    <w:rsid w:val="00873337"/>
    <w:rsid w:val="00890686"/>
    <w:rsid w:val="00892D30"/>
    <w:rsid w:val="008D0726"/>
    <w:rsid w:val="00903170"/>
    <w:rsid w:val="009201DA"/>
    <w:rsid w:val="00931686"/>
    <w:rsid w:val="00937DF9"/>
    <w:rsid w:val="009428D5"/>
    <w:rsid w:val="009562A9"/>
    <w:rsid w:val="00984D72"/>
    <w:rsid w:val="00995B58"/>
    <w:rsid w:val="009A55BA"/>
    <w:rsid w:val="009D036F"/>
    <w:rsid w:val="00A241D3"/>
    <w:rsid w:val="00A3383E"/>
    <w:rsid w:val="00A34C4A"/>
    <w:rsid w:val="00A4036F"/>
    <w:rsid w:val="00A4068D"/>
    <w:rsid w:val="00A61788"/>
    <w:rsid w:val="00A83F16"/>
    <w:rsid w:val="00A91B6A"/>
    <w:rsid w:val="00A93709"/>
    <w:rsid w:val="00AD11DF"/>
    <w:rsid w:val="00B12320"/>
    <w:rsid w:val="00B2674B"/>
    <w:rsid w:val="00B52348"/>
    <w:rsid w:val="00B722B5"/>
    <w:rsid w:val="00B94132"/>
    <w:rsid w:val="00BB6B01"/>
    <w:rsid w:val="00C008CE"/>
    <w:rsid w:val="00C0609E"/>
    <w:rsid w:val="00C14A63"/>
    <w:rsid w:val="00C166CF"/>
    <w:rsid w:val="00C32953"/>
    <w:rsid w:val="00C37D8B"/>
    <w:rsid w:val="00C40894"/>
    <w:rsid w:val="00C450F1"/>
    <w:rsid w:val="00C55F11"/>
    <w:rsid w:val="00C6517A"/>
    <w:rsid w:val="00C92E3F"/>
    <w:rsid w:val="00C948DF"/>
    <w:rsid w:val="00CE2D88"/>
    <w:rsid w:val="00CE693E"/>
    <w:rsid w:val="00CE7A56"/>
    <w:rsid w:val="00D6355E"/>
    <w:rsid w:val="00D63AD4"/>
    <w:rsid w:val="00D645CC"/>
    <w:rsid w:val="00D80D19"/>
    <w:rsid w:val="00DA5DF1"/>
    <w:rsid w:val="00DA600D"/>
    <w:rsid w:val="00DA6939"/>
    <w:rsid w:val="00DD4C45"/>
    <w:rsid w:val="00DD72A9"/>
    <w:rsid w:val="00DE6B2D"/>
    <w:rsid w:val="00DF7F82"/>
    <w:rsid w:val="00E10D10"/>
    <w:rsid w:val="00E215DF"/>
    <w:rsid w:val="00E337D3"/>
    <w:rsid w:val="00E60A3A"/>
    <w:rsid w:val="00E6788D"/>
    <w:rsid w:val="00E71AB0"/>
    <w:rsid w:val="00E75D4E"/>
    <w:rsid w:val="00E9315F"/>
    <w:rsid w:val="00EB0D8E"/>
    <w:rsid w:val="00EC00B2"/>
    <w:rsid w:val="00ED4D54"/>
    <w:rsid w:val="00EF706D"/>
    <w:rsid w:val="00F07B5F"/>
    <w:rsid w:val="00F13324"/>
    <w:rsid w:val="00F20BDE"/>
    <w:rsid w:val="00F24B5F"/>
    <w:rsid w:val="00F33A7E"/>
    <w:rsid w:val="00F608D0"/>
    <w:rsid w:val="00F653D4"/>
    <w:rsid w:val="00F6717D"/>
    <w:rsid w:val="00F67FFA"/>
    <w:rsid w:val="00F81A79"/>
    <w:rsid w:val="00F845F7"/>
    <w:rsid w:val="00FB111C"/>
    <w:rsid w:val="00FC3320"/>
    <w:rsid w:val="00FD406F"/>
    <w:rsid w:val="00FD62B9"/>
    <w:rsid w:val="00FE11CF"/>
    <w:rsid w:val="00FE332F"/>
    <w:rsid w:val="00FE604C"/>
    <w:rsid w:val="00FF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A0CB"/>
  <w15:chartTrackingRefBased/>
  <w15:docId w15:val="{9A828CE7-0CF5-4E14-90F1-6AE83E6E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8BE"/>
    <w:pPr>
      <w:keepNext/>
      <w:keepLines/>
      <w:spacing w:before="360" w:after="80"/>
      <w:outlineLvl w:val="0"/>
    </w:pPr>
    <w:rPr>
      <w:rFonts w:asciiTheme="majorHAnsi" w:eastAsiaTheme="majorEastAsia" w:hAnsiTheme="majorHAnsi" w:cstheme="majorBidi"/>
      <w:b/>
      <w:caps/>
      <w:sz w:val="24"/>
      <w:szCs w:val="40"/>
    </w:rPr>
  </w:style>
  <w:style w:type="paragraph" w:styleId="Heading2">
    <w:name w:val="heading 2"/>
    <w:basedOn w:val="Normal"/>
    <w:next w:val="Normal"/>
    <w:link w:val="Heading2Char"/>
    <w:uiPriority w:val="9"/>
    <w:unhideWhenUsed/>
    <w:qFormat/>
    <w:rsid w:val="00903170"/>
    <w:pPr>
      <w:keepNext/>
      <w:keepLines/>
      <w:spacing w:before="160" w:after="80"/>
      <w:outlineLvl w:val="1"/>
    </w:pPr>
    <w:rPr>
      <w:rFonts w:ascii="Aptos" w:eastAsiaTheme="majorEastAsia" w:hAnsi="Aptos" w:cstheme="majorBidi"/>
      <w:b/>
      <w:color w:val="000000" w:themeColor="text1"/>
      <w:sz w:val="24"/>
      <w:szCs w:val="32"/>
    </w:rPr>
  </w:style>
  <w:style w:type="paragraph" w:styleId="Heading3">
    <w:name w:val="heading 3"/>
    <w:basedOn w:val="Normal"/>
    <w:next w:val="Normal"/>
    <w:link w:val="Heading3Char"/>
    <w:uiPriority w:val="9"/>
    <w:semiHidden/>
    <w:unhideWhenUsed/>
    <w:qFormat/>
    <w:rsid w:val="000F4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8BE"/>
    <w:rPr>
      <w:rFonts w:asciiTheme="majorHAnsi" w:eastAsiaTheme="majorEastAsia" w:hAnsiTheme="majorHAnsi" w:cstheme="majorBidi"/>
      <w:b/>
      <w:caps/>
      <w:sz w:val="24"/>
      <w:szCs w:val="40"/>
    </w:rPr>
  </w:style>
  <w:style w:type="character" w:customStyle="1" w:styleId="Heading2Char">
    <w:name w:val="Heading 2 Char"/>
    <w:basedOn w:val="DefaultParagraphFont"/>
    <w:link w:val="Heading2"/>
    <w:uiPriority w:val="9"/>
    <w:rsid w:val="00903170"/>
    <w:rPr>
      <w:rFonts w:ascii="Aptos" w:eastAsiaTheme="majorEastAsia" w:hAnsi="Aptos" w:cstheme="majorBidi"/>
      <w:b/>
      <w:color w:val="000000" w:themeColor="text1"/>
      <w:sz w:val="24"/>
      <w:szCs w:val="32"/>
    </w:rPr>
  </w:style>
  <w:style w:type="character" w:customStyle="1" w:styleId="Heading3Char">
    <w:name w:val="Heading 3 Char"/>
    <w:basedOn w:val="DefaultParagraphFont"/>
    <w:link w:val="Heading3"/>
    <w:uiPriority w:val="9"/>
    <w:semiHidden/>
    <w:rsid w:val="000F4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8BE"/>
    <w:rPr>
      <w:rFonts w:eastAsiaTheme="majorEastAsia" w:cstheme="majorBidi"/>
      <w:color w:val="272727" w:themeColor="text1" w:themeTint="D8"/>
    </w:rPr>
  </w:style>
  <w:style w:type="paragraph" w:styleId="Title">
    <w:name w:val="Title"/>
    <w:basedOn w:val="Normal"/>
    <w:next w:val="Normal"/>
    <w:link w:val="TitleChar"/>
    <w:uiPriority w:val="10"/>
    <w:qFormat/>
    <w:rsid w:val="000F48BE"/>
    <w:pPr>
      <w:spacing w:after="8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0F48BE"/>
    <w:rPr>
      <w:rFonts w:asciiTheme="majorHAnsi" w:eastAsiaTheme="majorEastAsia" w:hAnsiTheme="majorHAnsi" w:cstheme="majorBidi"/>
      <w:spacing w:val="-10"/>
      <w:kern w:val="28"/>
      <w:sz w:val="32"/>
      <w:szCs w:val="56"/>
    </w:rPr>
  </w:style>
  <w:style w:type="paragraph" w:styleId="Subtitle">
    <w:name w:val="Subtitle"/>
    <w:basedOn w:val="Normal"/>
    <w:next w:val="Normal"/>
    <w:link w:val="SubtitleChar"/>
    <w:uiPriority w:val="11"/>
    <w:qFormat/>
    <w:rsid w:val="000F4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8BE"/>
    <w:pPr>
      <w:spacing w:before="160"/>
      <w:jc w:val="center"/>
    </w:pPr>
    <w:rPr>
      <w:i/>
      <w:iCs/>
      <w:color w:val="404040" w:themeColor="text1" w:themeTint="BF"/>
    </w:rPr>
  </w:style>
  <w:style w:type="character" w:customStyle="1" w:styleId="QuoteChar">
    <w:name w:val="Quote Char"/>
    <w:basedOn w:val="DefaultParagraphFont"/>
    <w:link w:val="Quote"/>
    <w:uiPriority w:val="29"/>
    <w:rsid w:val="000F48BE"/>
    <w:rPr>
      <w:i/>
      <w:iCs/>
      <w:color w:val="404040" w:themeColor="text1" w:themeTint="BF"/>
    </w:rPr>
  </w:style>
  <w:style w:type="paragraph" w:styleId="ListParagraph">
    <w:name w:val="List Paragraph"/>
    <w:basedOn w:val="Normal"/>
    <w:uiPriority w:val="34"/>
    <w:qFormat/>
    <w:rsid w:val="000F48BE"/>
    <w:pPr>
      <w:ind w:left="720"/>
      <w:contextualSpacing/>
    </w:pPr>
  </w:style>
  <w:style w:type="character" w:styleId="IntenseEmphasis">
    <w:name w:val="Intense Emphasis"/>
    <w:basedOn w:val="DefaultParagraphFont"/>
    <w:uiPriority w:val="21"/>
    <w:qFormat/>
    <w:rsid w:val="000F48BE"/>
    <w:rPr>
      <w:i/>
      <w:iCs/>
      <w:color w:val="0F4761" w:themeColor="accent1" w:themeShade="BF"/>
    </w:rPr>
  </w:style>
  <w:style w:type="paragraph" w:styleId="IntenseQuote">
    <w:name w:val="Intense Quote"/>
    <w:basedOn w:val="Normal"/>
    <w:next w:val="Normal"/>
    <w:link w:val="IntenseQuoteChar"/>
    <w:uiPriority w:val="30"/>
    <w:qFormat/>
    <w:rsid w:val="000F4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8BE"/>
    <w:rPr>
      <w:i/>
      <w:iCs/>
      <w:color w:val="0F4761" w:themeColor="accent1" w:themeShade="BF"/>
    </w:rPr>
  </w:style>
  <w:style w:type="character" w:styleId="IntenseReference">
    <w:name w:val="Intense Reference"/>
    <w:basedOn w:val="DefaultParagraphFont"/>
    <w:uiPriority w:val="32"/>
    <w:qFormat/>
    <w:rsid w:val="000F48BE"/>
    <w:rPr>
      <w:b/>
      <w:bCs/>
      <w:smallCaps/>
      <w:color w:val="0F4761" w:themeColor="accent1" w:themeShade="BF"/>
      <w:spacing w:val="5"/>
    </w:rPr>
  </w:style>
  <w:style w:type="table" w:styleId="GridTable4-Accent4">
    <w:name w:val="Grid Table 4 Accent 4"/>
    <w:basedOn w:val="TableNormal"/>
    <w:uiPriority w:val="49"/>
    <w:rsid w:val="00A34C4A"/>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1">
    <w:name w:val="Grid Table 6 Colorful Accent 1"/>
    <w:basedOn w:val="TableNormal"/>
    <w:uiPriority w:val="51"/>
    <w:rsid w:val="0063004D"/>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3E2AFF"/>
    <w:rPr>
      <w:sz w:val="16"/>
      <w:szCs w:val="16"/>
    </w:rPr>
  </w:style>
  <w:style w:type="paragraph" w:styleId="CommentText">
    <w:name w:val="annotation text"/>
    <w:basedOn w:val="Normal"/>
    <w:link w:val="CommentTextChar"/>
    <w:uiPriority w:val="99"/>
    <w:unhideWhenUsed/>
    <w:rsid w:val="003E2AFF"/>
    <w:pPr>
      <w:spacing w:line="240" w:lineRule="auto"/>
    </w:pPr>
    <w:rPr>
      <w:sz w:val="20"/>
      <w:szCs w:val="20"/>
    </w:rPr>
  </w:style>
  <w:style w:type="character" w:customStyle="1" w:styleId="CommentTextChar">
    <w:name w:val="Comment Text Char"/>
    <w:basedOn w:val="DefaultParagraphFont"/>
    <w:link w:val="CommentText"/>
    <w:uiPriority w:val="99"/>
    <w:rsid w:val="003E2AFF"/>
    <w:rPr>
      <w:sz w:val="20"/>
      <w:szCs w:val="20"/>
    </w:rPr>
  </w:style>
  <w:style w:type="table" w:styleId="TableGrid">
    <w:name w:val="Table Grid"/>
    <w:basedOn w:val="TableNormal"/>
    <w:uiPriority w:val="39"/>
    <w:rsid w:val="007F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3E77B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2-Accent4">
    <w:name w:val="Grid Table 2 Accent 4"/>
    <w:basedOn w:val="TableNormal"/>
    <w:uiPriority w:val="47"/>
    <w:rsid w:val="003E77B2"/>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3E77B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ommentSubject">
    <w:name w:val="annotation subject"/>
    <w:basedOn w:val="CommentText"/>
    <w:next w:val="CommentText"/>
    <w:link w:val="CommentSubjectChar"/>
    <w:uiPriority w:val="99"/>
    <w:semiHidden/>
    <w:unhideWhenUsed/>
    <w:rsid w:val="00226866"/>
    <w:rPr>
      <w:b/>
      <w:bCs/>
    </w:rPr>
  </w:style>
  <w:style w:type="character" w:customStyle="1" w:styleId="CommentSubjectChar">
    <w:name w:val="Comment Subject Char"/>
    <w:basedOn w:val="CommentTextChar"/>
    <w:link w:val="CommentSubject"/>
    <w:uiPriority w:val="99"/>
    <w:semiHidden/>
    <w:rsid w:val="00226866"/>
    <w:rPr>
      <w:b/>
      <w:bCs/>
      <w:sz w:val="20"/>
      <w:szCs w:val="20"/>
    </w:rPr>
  </w:style>
  <w:style w:type="character" w:styleId="Hyperlink">
    <w:name w:val="Hyperlink"/>
    <w:basedOn w:val="DefaultParagraphFont"/>
    <w:uiPriority w:val="99"/>
    <w:unhideWhenUsed/>
    <w:rsid w:val="0038454B"/>
    <w:rPr>
      <w:color w:val="467886" w:themeColor="hyperlink"/>
      <w:u w:val="single"/>
    </w:rPr>
  </w:style>
  <w:style w:type="paragraph" w:styleId="TOCHeading">
    <w:name w:val="TOC Heading"/>
    <w:basedOn w:val="Heading1"/>
    <w:next w:val="Normal"/>
    <w:uiPriority w:val="39"/>
    <w:unhideWhenUsed/>
    <w:qFormat/>
    <w:rsid w:val="00FE604C"/>
    <w:pPr>
      <w:spacing w:before="240" w:after="0"/>
      <w:outlineLvl w:val="9"/>
    </w:pPr>
    <w:rPr>
      <w:b w:val="0"/>
      <w:cap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FE604C"/>
    <w:pPr>
      <w:spacing w:after="100"/>
    </w:pPr>
  </w:style>
  <w:style w:type="paragraph" w:styleId="Revision">
    <w:name w:val="Revision"/>
    <w:hidden/>
    <w:uiPriority w:val="99"/>
    <w:semiHidden/>
    <w:rsid w:val="00683FC1"/>
    <w:pPr>
      <w:spacing w:after="0" w:line="240" w:lineRule="auto"/>
    </w:pPr>
  </w:style>
  <w:style w:type="paragraph" w:styleId="Caption">
    <w:name w:val="caption"/>
    <w:basedOn w:val="Normal"/>
    <w:next w:val="Normal"/>
    <w:uiPriority w:val="35"/>
    <w:unhideWhenUsed/>
    <w:qFormat/>
    <w:rsid w:val="00111B0D"/>
    <w:pPr>
      <w:spacing w:after="200" w:line="240" w:lineRule="auto"/>
    </w:pPr>
    <w:rPr>
      <w:i/>
      <w:iCs/>
      <w:color w:val="0E2841" w:themeColor="text2"/>
      <w:sz w:val="18"/>
      <w:szCs w:val="18"/>
    </w:rPr>
  </w:style>
  <w:style w:type="table" w:styleId="GridTable5Dark-Accent4">
    <w:name w:val="Grid Table 5 Dark Accent 4"/>
    <w:basedOn w:val="TableNormal"/>
    <w:uiPriority w:val="50"/>
    <w:rsid w:val="00FD62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1">
    <w:name w:val="Grid Table 5 Dark Accent 1"/>
    <w:basedOn w:val="TableNormal"/>
    <w:uiPriority w:val="50"/>
    <w:rsid w:val="00FD62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6">
    <w:name w:val="Grid Table 5 Dark Accent 6"/>
    <w:basedOn w:val="TableNormal"/>
    <w:uiPriority w:val="50"/>
    <w:rsid w:val="006148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paragraph" w:styleId="TOC2">
    <w:name w:val="toc 2"/>
    <w:basedOn w:val="Normal"/>
    <w:next w:val="Normal"/>
    <w:autoRedefine/>
    <w:uiPriority w:val="39"/>
    <w:unhideWhenUsed/>
    <w:rsid w:val="00BB6B0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s://nat.mbg.duth.gr/Homepage.htm"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570DB-5DEF-44B3-81E8-048A7386E0BE}">
  <ds:schemaRefs>
    <ds:schemaRef ds:uri="http://schemas.openxmlformats.org/officeDocument/2006/bibliography"/>
  </ds:schemaRefs>
</ds:datastoreItem>
</file>

<file path=docMetadata/LabelInfo.xml><?xml version="1.0" encoding="utf-8"?>
<clbl:labelList xmlns:clbl="http://schemas.microsoft.com/office/2020/mipLabelMetadata">
  <clbl:label id="{22340fa8-9226-4871-b677-d3b3e377af72}" enabled="0" method="" siteId="{22340fa8-9226-4871-b677-d3b3e377af72}"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Tibben, Bailey</dc:creator>
  <cp:keywords/>
  <dc:description/>
  <cp:lastModifiedBy>Tibben, Bailey</cp:lastModifiedBy>
  <cp:revision>4</cp:revision>
  <dcterms:created xsi:type="dcterms:W3CDTF">2025-07-02T16:07:00Z</dcterms:created>
  <dcterms:modified xsi:type="dcterms:W3CDTF">2025-07-07T13:47:00Z</dcterms:modified>
</cp:coreProperties>
</file>